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FC47C6"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FC47C6">
        <w:rPr>
          <w:rStyle w:val="rvts15"/>
          <w:b/>
          <w:bCs/>
          <w:color w:val="000000"/>
          <w:sz w:val="28"/>
          <w:szCs w:val="28"/>
          <w:bdr w:val="none" w:sz="0" w:space="0" w:color="auto" w:frame="1"/>
        </w:rPr>
        <w:t>ФОРМА </w:t>
      </w:r>
      <w:r w:rsidRPr="00FC47C6">
        <w:rPr>
          <w:color w:val="000000"/>
          <w:bdr w:val="none" w:sz="0" w:space="0" w:color="auto" w:frame="1"/>
        </w:rPr>
        <w:br/>
      </w:r>
      <w:r w:rsidRPr="00FC47C6">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881F76" w:rsidRPr="00FC47C6">
        <w:rPr>
          <w:rStyle w:val="rvts15"/>
          <w:b/>
          <w:bCs/>
          <w:color w:val="000000"/>
          <w:sz w:val="28"/>
          <w:szCs w:val="28"/>
          <w:bdr w:val="none" w:sz="0" w:space="0" w:color="auto" w:frame="1"/>
        </w:rPr>
        <w:t>7</w:t>
      </w:r>
    </w:p>
    <w:p w:rsidR="00D64A32" w:rsidRPr="00FC47C6"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FC47C6">
        <w:rPr>
          <w:rStyle w:val="rvts15"/>
          <w:b/>
          <w:bCs/>
          <w:color w:val="000000"/>
          <w:sz w:val="28"/>
          <w:szCs w:val="28"/>
          <w:bdr w:val="none" w:sz="0" w:space="0" w:color="auto" w:frame="1"/>
        </w:rPr>
        <w:t>до уніфікованої форми акта</w:t>
      </w:r>
      <w:r w:rsidR="00D14421" w:rsidRPr="00FC47C6">
        <w:rPr>
          <w:rStyle w:val="rvts15"/>
          <w:b/>
          <w:bCs/>
          <w:color w:val="000000"/>
          <w:sz w:val="28"/>
          <w:szCs w:val="28"/>
          <w:bdr w:val="none" w:sz="0" w:space="0" w:color="auto" w:frame="1"/>
        </w:rPr>
        <w:t xml:space="preserve">, </w:t>
      </w:r>
      <w:r w:rsidR="00D14421" w:rsidRPr="00FC47C6">
        <w:rPr>
          <w:rStyle w:val="rvts15"/>
          <w:b/>
          <w:bCs/>
          <w:color w:val="000000"/>
          <w:sz w:val="28"/>
          <w:szCs w:val="28"/>
          <w:bdr w:val="none" w:sz="0" w:space="0" w:color="auto" w:frame="1"/>
        </w:rPr>
        <w:br/>
        <w:t>затвердженої наказом Міністерства інфраструктури України від 12.08.2022 № 599</w:t>
      </w:r>
    </w:p>
    <w:p w:rsidR="007C3C26" w:rsidRPr="00FC47C6"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FC47C6"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FC47C6">
        <w:rPr>
          <w:color w:val="000000"/>
          <w:bdr w:val="none" w:sz="0" w:space="0" w:color="auto" w:frame="1"/>
        </w:rPr>
        <w:t xml:space="preserve">Сфера державного нагляду (контролю) </w:t>
      </w:r>
      <w:r w:rsidRPr="00FC47C6">
        <w:rPr>
          <w:b/>
          <w:color w:val="000000"/>
          <w:u w:val="single"/>
          <w:bdr w:val="none" w:sz="0" w:space="0" w:color="auto" w:frame="1"/>
        </w:rPr>
        <w:t>залізничний транспорт</w:t>
      </w:r>
    </w:p>
    <w:p w:rsidR="007C3C26" w:rsidRPr="00FC47C6"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FC47C6" w:rsidTr="005A41D3">
        <w:trPr>
          <w:trHeight w:val="392"/>
        </w:trPr>
        <w:tc>
          <w:tcPr>
            <w:tcW w:w="663" w:type="dxa"/>
            <w:gridSpan w:val="2"/>
            <w:vMerge w:val="restart"/>
            <w:textDirection w:val="btLr"/>
          </w:tcPr>
          <w:p w:rsidR="007C3C26" w:rsidRPr="00FC47C6" w:rsidRDefault="007C3C26" w:rsidP="005A41D3">
            <w:pPr>
              <w:spacing w:after="0" w:line="240" w:lineRule="auto"/>
              <w:ind w:left="113" w:right="113"/>
              <w:jc w:val="center"/>
              <w:rPr>
                <w:rFonts w:ascii="Times New Roman" w:hAnsi="Times New Roman" w:cs="Times New Roman"/>
                <w:sz w:val="18"/>
                <w:szCs w:val="18"/>
              </w:rPr>
            </w:pPr>
            <w:r w:rsidRPr="00FC47C6">
              <w:rPr>
                <w:rFonts w:ascii="Times New Roman" w:hAnsi="Times New Roman" w:cs="Times New Roman"/>
                <w:sz w:val="18"/>
                <w:szCs w:val="18"/>
              </w:rPr>
              <w:t>Порядковий номер</w:t>
            </w:r>
          </w:p>
          <w:p w:rsidR="007C3C26" w:rsidRPr="00FC47C6" w:rsidRDefault="007C3C26" w:rsidP="005A41D3">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Назва об’єкта, на який спрямована вимога законодавства</w:t>
            </w:r>
          </w:p>
          <w:p w:rsidR="007C3C26" w:rsidRPr="00FC47C6" w:rsidRDefault="007C3C26" w:rsidP="005A41D3">
            <w:pPr>
              <w:spacing w:after="0" w:line="240" w:lineRule="auto"/>
              <w:rPr>
                <w:rFonts w:ascii="Times New Roman" w:hAnsi="Times New Roman" w:cs="Times New Roman"/>
                <w:sz w:val="18"/>
                <w:szCs w:val="18"/>
              </w:rPr>
            </w:pPr>
          </w:p>
          <w:p w:rsidR="007C3C26" w:rsidRPr="00FC47C6" w:rsidRDefault="007C3C26" w:rsidP="005A41D3">
            <w:pPr>
              <w:spacing w:after="0" w:line="240" w:lineRule="auto"/>
              <w:rPr>
                <w:rFonts w:ascii="Times New Roman" w:hAnsi="Times New Roman" w:cs="Times New Roman"/>
                <w:sz w:val="18"/>
                <w:szCs w:val="18"/>
              </w:rPr>
            </w:pPr>
          </w:p>
          <w:p w:rsidR="007C3C26" w:rsidRPr="00FC47C6" w:rsidRDefault="007C3C26" w:rsidP="005A41D3">
            <w:pPr>
              <w:spacing w:after="0" w:line="240" w:lineRule="auto"/>
              <w:rPr>
                <w:rFonts w:ascii="Times New Roman" w:hAnsi="Times New Roman" w:cs="Times New Roman"/>
                <w:sz w:val="18"/>
                <w:szCs w:val="18"/>
              </w:rPr>
            </w:pPr>
          </w:p>
        </w:tc>
        <w:tc>
          <w:tcPr>
            <w:tcW w:w="1417" w:type="dxa"/>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FC47C6" w:rsidRDefault="007C3C26" w:rsidP="005A41D3">
            <w:pPr>
              <w:spacing w:after="0" w:line="240" w:lineRule="auto"/>
              <w:rPr>
                <w:rFonts w:ascii="Times New Roman" w:hAnsi="Times New Roman" w:cs="Times New Roman"/>
                <w:sz w:val="18"/>
                <w:szCs w:val="18"/>
              </w:rPr>
            </w:pPr>
          </w:p>
        </w:tc>
        <w:tc>
          <w:tcPr>
            <w:tcW w:w="1134" w:type="dxa"/>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Код цілі державного нагляду (контролю)</w:t>
            </w:r>
          </w:p>
          <w:p w:rsidR="007C3C26" w:rsidRPr="00FC47C6" w:rsidRDefault="007C3C26" w:rsidP="005A41D3">
            <w:pPr>
              <w:spacing w:after="0" w:line="240" w:lineRule="auto"/>
              <w:rPr>
                <w:rFonts w:ascii="Times New Roman" w:hAnsi="Times New Roman" w:cs="Times New Roman"/>
                <w:sz w:val="18"/>
                <w:szCs w:val="18"/>
              </w:rPr>
            </w:pPr>
          </w:p>
          <w:p w:rsidR="007C3C26" w:rsidRPr="00FC47C6" w:rsidRDefault="007C3C26" w:rsidP="005A41D3">
            <w:pPr>
              <w:spacing w:after="0" w:line="240" w:lineRule="auto"/>
              <w:rPr>
                <w:rFonts w:ascii="Times New Roman" w:hAnsi="Times New Roman" w:cs="Times New Roman"/>
                <w:sz w:val="18"/>
                <w:szCs w:val="18"/>
              </w:rPr>
            </w:pPr>
          </w:p>
          <w:p w:rsidR="007C3C26" w:rsidRPr="00FC47C6" w:rsidRDefault="007C3C26" w:rsidP="005A41D3">
            <w:pPr>
              <w:spacing w:after="0" w:line="240" w:lineRule="auto"/>
              <w:rPr>
                <w:rFonts w:ascii="Times New Roman" w:hAnsi="Times New Roman" w:cs="Times New Roman"/>
                <w:sz w:val="18"/>
                <w:szCs w:val="18"/>
              </w:rPr>
            </w:pPr>
          </w:p>
          <w:p w:rsidR="007C3C26" w:rsidRPr="00FC47C6" w:rsidRDefault="007C3C26" w:rsidP="005A41D3">
            <w:pPr>
              <w:spacing w:after="0" w:line="240" w:lineRule="auto"/>
              <w:rPr>
                <w:rFonts w:ascii="Times New Roman" w:hAnsi="Times New Roman" w:cs="Times New Roman"/>
                <w:sz w:val="18"/>
                <w:szCs w:val="18"/>
              </w:rPr>
            </w:pPr>
          </w:p>
        </w:tc>
        <w:tc>
          <w:tcPr>
            <w:tcW w:w="2694" w:type="dxa"/>
            <w:gridSpan w:val="5"/>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FC47C6" w:rsidRDefault="007C3C26" w:rsidP="005A41D3">
            <w:pPr>
              <w:spacing w:after="0" w:line="240" w:lineRule="auto"/>
              <w:rPr>
                <w:rFonts w:ascii="Times New Roman" w:hAnsi="Times New Roman" w:cs="Times New Roman"/>
                <w:sz w:val="18"/>
                <w:szCs w:val="18"/>
              </w:rPr>
            </w:pPr>
          </w:p>
        </w:tc>
        <w:tc>
          <w:tcPr>
            <w:tcW w:w="1079" w:type="dxa"/>
            <w:gridSpan w:val="2"/>
            <w:vMerge w:val="restart"/>
          </w:tcPr>
          <w:p w:rsidR="007C3C26" w:rsidRPr="00FC47C6" w:rsidRDefault="007C3C26" w:rsidP="005A41D3">
            <w:pPr>
              <w:spacing w:after="0" w:line="240" w:lineRule="auto"/>
              <w:ind w:left="-59" w:right="-108"/>
              <w:jc w:val="center"/>
              <w:rPr>
                <w:rFonts w:ascii="Times New Roman" w:hAnsi="Times New Roman" w:cs="Times New Roman"/>
                <w:sz w:val="18"/>
                <w:szCs w:val="18"/>
              </w:rPr>
            </w:pPr>
            <w:r w:rsidRPr="00FC47C6">
              <w:rPr>
                <w:rFonts w:ascii="Times New Roman" w:hAnsi="Times New Roman" w:cs="Times New Roman"/>
                <w:sz w:val="18"/>
                <w:szCs w:val="18"/>
              </w:rPr>
              <w:t>Ймовір-</w:t>
            </w:r>
            <w:r w:rsidRPr="00FC47C6">
              <w:rPr>
                <w:rFonts w:ascii="Times New Roman" w:hAnsi="Times New Roman" w:cs="Times New Roman"/>
                <w:sz w:val="18"/>
                <w:szCs w:val="18"/>
              </w:rPr>
              <w:br/>
              <w:t xml:space="preserve">ність настання негативних наслідків (від 1 до </w:t>
            </w:r>
            <w:r w:rsidRPr="00FC47C6">
              <w:rPr>
                <w:rFonts w:ascii="Times New Roman" w:hAnsi="Times New Roman" w:cs="Times New Roman"/>
                <w:sz w:val="18"/>
                <w:szCs w:val="18"/>
              </w:rPr>
              <w:br/>
              <w:t>4 балів,                де 4 - найвищий рівень ймовірності)</w:t>
            </w:r>
          </w:p>
          <w:p w:rsidR="007C3C26" w:rsidRPr="00FC47C6" w:rsidRDefault="007C3C26" w:rsidP="005A41D3">
            <w:pPr>
              <w:spacing w:after="0" w:line="240" w:lineRule="auto"/>
              <w:ind w:left="-84"/>
              <w:rPr>
                <w:rFonts w:ascii="Times New Roman" w:hAnsi="Times New Roman" w:cs="Times New Roman"/>
                <w:sz w:val="18"/>
                <w:szCs w:val="18"/>
              </w:rPr>
            </w:pPr>
          </w:p>
        </w:tc>
        <w:tc>
          <w:tcPr>
            <w:tcW w:w="2195" w:type="dxa"/>
            <w:vMerge w:val="restart"/>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FC47C6" w:rsidRDefault="007C3C26" w:rsidP="005A41D3">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FC47C6" w:rsidRDefault="007C3C26" w:rsidP="005A41D3">
            <w:pPr>
              <w:spacing w:after="0" w:line="240" w:lineRule="auto"/>
              <w:ind w:left="113" w:right="113"/>
              <w:jc w:val="center"/>
              <w:rPr>
                <w:rFonts w:ascii="Times New Roman" w:hAnsi="Times New Roman" w:cs="Times New Roman"/>
                <w:sz w:val="18"/>
                <w:szCs w:val="18"/>
              </w:rPr>
            </w:pPr>
            <w:r w:rsidRPr="00FC47C6">
              <w:rPr>
                <w:rFonts w:ascii="Times New Roman" w:hAnsi="Times New Roman" w:cs="Times New Roman"/>
                <w:sz w:val="18"/>
                <w:szCs w:val="18"/>
              </w:rPr>
              <w:t>Примітка</w:t>
            </w:r>
          </w:p>
          <w:p w:rsidR="007C3C26" w:rsidRPr="00FC47C6" w:rsidRDefault="007C3C26" w:rsidP="005A41D3">
            <w:pPr>
              <w:spacing w:after="0" w:line="240" w:lineRule="auto"/>
              <w:ind w:left="113" w:right="113"/>
              <w:rPr>
                <w:rFonts w:ascii="Times New Roman" w:hAnsi="Times New Roman" w:cs="Times New Roman"/>
                <w:sz w:val="18"/>
                <w:szCs w:val="18"/>
              </w:rPr>
            </w:pPr>
          </w:p>
          <w:p w:rsidR="007C3C26" w:rsidRPr="00FC47C6" w:rsidRDefault="007C3C26" w:rsidP="005A41D3">
            <w:pPr>
              <w:spacing w:after="0" w:line="240" w:lineRule="auto"/>
              <w:ind w:left="113" w:right="113"/>
              <w:rPr>
                <w:rFonts w:ascii="Times New Roman" w:hAnsi="Times New Roman" w:cs="Times New Roman"/>
                <w:sz w:val="18"/>
                <w:szCs w:val="18"/>
              </w:rPr>
            </w:pPr>
          </w:p>
          <w:p w:rsidR="007C3C26" w:rsidRPr="00FC47C6" w:rsidRDefault="007C3C26" w:rsidP="005A41D3">
            <w:pPr>
              <w:spacing w:after="0" w:line="240" w:lineRule="auto"/>
              <w:ind w:left="113" w:right="113"/>
              <w:rPr>
                <w:rFonts w:ascii="Times New Roman" w:hAnsi="Times New Roman" w:cs="Times New Roman"/>
                <w:sz w:val="18"/>
                <w:szCs w:val="18"/>
              </w:rPr>
            </w:pPr>
          </w:p>
          <w:p w:rsidR="007C3C26" w:rsidRPr="00FC47C6" w:rsidRDefault="007C3C26" w:rsidP="005A41D3">
            <w:pPr>
              <w:spacing w:after="0" w:line="240" w:lineRule="auto"/>
              <w:ind w:left="113" w:right="113"/>
              <w:rPr>
                <w:rFonts w:ascii="Times New Roman" w:hAnsi="Times New Roman" w:cs="Times New Roman"/>
                <w:sz w:val="18"/>
                <w:szCs w:val="18"/>
              </w:rPr>
            </w:pPr>
          </w:p>
        </w:tc>
      </w:tr>
      <w:tr w:rsidR="007C3C26" w:rsidRPr="00FC47C6" w:rsidTr="005A41D3">
        <w:trPr>
          <w:trHeight w:val="949"/>
        </w:trPr>
        <w:tc>
          <w:tcPr>
            <w:tcW w:w="663" w:type="dxa"/>
            <w:gridSpan w:val="2"/>
            <w:vMerge/>
          </w:tcPr>
          <w:p w:rsidR="007C3C26" w:rsidRPr="00FC47C6" w:rsidRDefault="007C3C26" w:rsidP="005A41D3">
            <w:pPr>
              <w:spacing w:after="0" w:line="240" w:lineRule="auto"/>
              <w:jc w:val="center"/>
              <w:rPr>
                <w:rFonts w:ascii="Times New Roman" w:hAnsi="Times New Roman" w:cs="Times New Roman"/>
                <w:sz w:val="18"/>
                <w:szCs w:val="18"/>
              </w:rPr>
            </w:pPr>
          </w:p>
        </w:tc>
        <w:tc>
          <w:tcPr>
            <w:tcW w:w="2440" w:type="dxa"/>
            <w:gridSpan w:val="2"/>
            <w:vMerge/>
          </w:tcPr>
          <w:p w:rsidR="007C3C26" w:rsidRPr="00FC47C6" w:rsidRDefault="007C3C26" w:rsidP="005A41D3">
            <w:pPr>
              <w:spacing w:after="0" w:line="240" w:lineRule="auto"/>
              <w:rPr>
                <w:rFonts w:ascii="Times New Roman" w:hAnsi="Times New Roman" w:cs="Times New Roman"/>
                <w:sz w:val="18"/>
                <w:szCs w:val="18"/>
              </w:rPr>
            </w:pPr>
          </w:p>
        </w:tc>
        <w:tc>
          <w:tcPr>
            <w:tcW w:w="1419" w:type="dxa"/>
            <w:vMerge/>
          </w:tcPr>
          <w:p w:rsidR="007C3C26" w:rsidRPr="00FC47C6" w:rsidRDefault="007C3C26" w:rsidP="005A41D3">
            <w:pPr>
              <w:spacing w:after="0" w:line="240" w:lineRule="auto"/>
              <w:rPr>
                <w:rFonts w:ascii="Times New Roman" w:hAnsi="Times New Roman" w:cs="Times New Roman"/>
                <w:sz w:val="18"/>
                <w:szCs w:val="18"/>
              </w:rPr>
            </w:pPr>
          </w:p>
        </w:tc>
        <w:tc>
          <w:tcPr>
            <w:tcW w:w="1418" w:type="dxa"/>
            <w:vMerge/>
          </w:tcPr>
          <w:p w:rsidR="007C3C26" w:rsidRPr="00FC47C6" w:rsidRDefault="007C3C26" w:rsidP="005A41D3">
            <w:pPr>
              <w:spacing w:after="0" w:line="240" w:lineRule="auto"/>
              <w:rPr>
                <w:rFonts w:ascii="Times New Roman" w:hAnsi="Times New Roman" w:cs="Times New Roman"/>
                <w:sz w:val="18"/>
                <w:szCs w:val="18"/>
              </w:rPr>
            </w:pPr>
          </w:p>
        </w:tc>
        <w:tc>
          <w:tcPr>
            <w:tcW w:w="1417" w:type="dxa"/>
            <w:vMerge/>
          </w:tcPr>
          <w:p w:rsidR="007C3C26" w:rsidRPr="00FC47C6" w:rsidRDefault="007C3C26" w:rsidP="005A41D3">
            <w:pPr>
              <w:spacing w:after="0" w:line="240" w:lineRule="auto"/>
              <w:rPr>
                <w:rFonts w:ascii="Times New Roman" w:hAnsi="Times New Roman" w:cs="Times New Roman"/>
                <w:sz w:val="18"/>
                <w:szCs w:val="18"/>
              </w:rPr>
            </w:pPr>
          </w:p>
        </w:tc>
        <w:tc>
          <w:tcPr>
            <w:tcW w:w="1134" w:type="dxa"/>
            <w:vMerge/>
          </w:tcPr>
          <w:p w:rsidR="007C3C26" w:rsidRPr="00FC47C6" w:rsidRDefault="007C3C26" w:rsidP="005A41D3">
            <w:pPr>
              <w:spacing w:after="0" w:line="240" w:lineRule="auto"/>
              <w:rPr>
                <w:rFonts w:ascii="Times New Roman" w:hAnsi="Times New Roman" w:cs="Times New Roman"/>
                <w:sz w:val="18"/>
                <w:szCs w:val="18"/>
              </w:rPr>
            </w:pPr>
          </w:p>
        </w:tc>
        <w:tc>
          <w:tcPr>
            <w:tcW w:w="1317" w:type="dxa"/>
            <w:gridSpan w:val="2"/>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FC47C6" w:rsidRDefault="007C3C26" w:rsidP="005A41D3">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негативний наслідок</w:t>
            </w:r>
          </w:p>
          <w:p w:rsidR="007C3C26" w:rsidRPr="00FC47C6" w:rsidRDefault="007C3C26" w:rsidP="005A41D3">
            <w:pPr>
              <w:spacing w:after="0" w:line="240" w:lineRule="auto"/>
              <w:rPr>
                <w:rFonts w:ascii="Times New Roman" w:hAnsi="Times New Roman" w:cs="Times New Roman"/>
                <w:sz w:val="18"/>
                <w:szCs w:val="18"/>
              </w:rPr>
            </w:pPr>
          </w:p>
        </w:tc>
        <w:tc>
          <w:tcPr>
            <w:tcW w:w="1079" w:type="dxa"/>
            <w:gridSpan w:val="2"/>
            <w:vMerge/>
          </w:tcPr>
          <w:p w:rsidR="007C3C26" w:rsidRPr="00FC47C6" w:rsidRDefault="007C3C26" w:rsidP="005A41D3">
            <w:pPr>
              <w:spacing w:after="0" w:line="240" w:lineRule="auto"/>
              <w:rPr>
                <w:rFonts w:ascii="Times New Roman" w:hAnsi="Times New Roman" w:cs="Times New Roman"/>
                <w:sz w:val="18"/>
                <w:szCs w:val="18"/>
              </w:rPr>
            </w:pPr>
          </w:p>
        </w:tc>
        <w:tc>
          <w:tcPr>
            <w:tcW w:w="2195" w:type="dxa"/>
            <w:vMerge/>
          </w:tcPr>
          <w:p w:rsidR="007C3C26" w:rsidRPr="00FC47C6" w:rsidRDefault="007C3C26" w:rsidP="005A41D3">
            <w:pPr>
              <w:spacing w:after="0" w:line="240" w:lineRule="auto"/>
              <w:rPr>
                <w:rFonts w:ascii="Times New Roman" w:hAnsi="Times New Roman" w:cs="Times New Roman"/>
                <w:sz w:val="18"/>
                <w:szCs w:val="18"/>
              </w:rPr>
            </w:pPr>
          </w:p>
        </w:tc>
        <w:tc>
          <w:tcPr>
            <w:tcW w:w="391" w:type="dxa"/>
            <w:vMerge/>
          </w:tcPr>
          <w:p w:rsidR="007C3C26" w:rsidRPr="00FC47C6" w:rsidRDefault="007C3C26" w:rsidP="005A41D3">
            <w:pPr>
              <w:spacing w:after="0" w:line="240" w:lineRule="auto"/>
              <w:rPr>
                <w:rFonts w:ascii="Times New Roman" w:hAnsi="Times New Roman" w:cs="Times New Roman"/>
                <w:sz w:val="18"/>
                <w:szCs w:val="18"/>
              </w:rPr>
            </w:pPr>
          </w:p>
        </w:tc>
      </w:tr>
      <w:tr w:rsidR="007C3C26" w:rsidRPr="00FC47C6" w:rsidTr="00FC47C6">
        <w:trPr>
          <w:trHeight w:val="568"/>
        </w:trPr>
        <w:tc>
          <w:tcPr>
            <w:tcW w:w="14850" w:type="dxa"/>
            <w:gridSpan w:val="17"/>
            <w:shd w:val="clear" w:color="auto" w:fill="auto"/>
          </w:tcPr>
          <w:p w:rsidR="007C3C26" w:rsidRPr="00FC47C6" w:rsidRDefault="007C3C26" w:rsidP="00C7205C">
            <w:pPr>
              <w:ind w:right="-109"/>
              <w:jc w:val="center"/>
              <w:rPr>
                <w:rFonts w:ascii="Times New Roman" w:hAnsi="Times New Roman" w:cs="Times New Roman"/>
                <w:b/>
                <w:sz w:val="24"/>
                <w:szCs w:val="24"/>
              </w:rPr>
            </w:pPr>
            <w:r w:rsidRPr="00FC47C6">
              <w:rPr>
                <w:rFonts w:ascii="Times New Roman" w:hAnsi="Times New Roman" w:cs="Times New Roman"/>
                <w:b/>
                <w:sz w:val="24"/>
                <w:szCs w:val="24"/>
              </w:rPr>
              <w:t>питання для перевірки до</w:t>
            </w:r>
            <w:r w:rsidR="00C7205C" w:rsidRPr="00FC47C6">
              <w:rPr>
                <w:rFonts w:ascii="Times New Roman" w:hAnsi="Times New Roman" w:cs="Times New Roman"/>
                <w:b/>
                <w:sz w:val="24"/>
                <w:szCs w:val="24"/>
              </w:rPr>
              <w:t>держання</w:t>
            </w:r>
            <w:r w:rsidRPr="00FC47C6">
              <w:rPr>
                <w:rFonts w:ascii="Times New Roman" w:hAnsi="Times New Roman" w:cs="Times New Roman"/>
                <w:b/>
                <w:sz w:val="24"/>
                <w:szCs w:val="24"/>
              </w:rPr>
              <w:t xml:space="preserve">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881F76" w:rsidRPr="00FC47C6" w:rsidTr="00FC47C6">
        <w:trPr>
          <w:trHeight w:val="291"/>
        </w:trPr>
        <w:tc>
          <w:tcPr>
            <w:tcW w:w="646" w:type="dxa"/>
            <w:shd w:val="clear" w:color="auto" w:fill="auto"/>
          </w:tcPr>
          <w:p w:rsidR="00881F76" w:rsidRPr="00FC47C6" w:rsidRDefault="00881F76" w:rsidP="00881F76">
            <w:pPr>
              <w:spacing w:after="0" w:line="240" w:lineRule="auto"/>
              <w:jc w:val="center"/>
              <w:rPr>
                <w:rFonts w:ascii="Times New Roman" w:hAnsi="Times New Roman" w:cs="Times New Roman"/>
                <w:b/>
                <w:sz w:val="18"/>
                <w:szCs w:val="18"/>
              </w:rPr>
            </w:pPr>
          </w:p>
        </w:tc>
        <w:tc>
          <w:tcPr>
            <w:tcW w:w="14204" w:type="dxa"/>
            <w:gridSpan w:val="16"/>
          </w:tcPr>
          <w:p w:rsidR="00881F76" w:rsidRPr="00FC47C6" w:rsidRDefault="00881F76" w:rsidP="00881F76">
            <w:pPr>
              <w:autoSpaceDE w:val="0"/>
              <w:autoSpaceDN w:val="0"/>
              <w:spacing w:after="0" w:line="240" w:lineRule="auto"/>
              <w:contextualSpacing/>
              <w:jc w:val="center"/>
              <w:rPr>
                <w:rFonts w:ascii="Times New Roman" w:hAnsi="Times New Roman" w:cs="Times New Roman"/>
                <w:b/>
                <w:spacing w:val="-2"/>
                <w:sz w:val="18"/>
                <w:szCs w:val="18"/>
                <w:lang w:eastAsia="uk-UA"/>
              </w:rPr>
            </w:pPr>
            <w:r w:rsidRPr="00FC47C6">
              <w:rPr>
                <w:rFonts w:ascii="Times New Roman" w:hAnsi="Times New Roman" w:cs="Times New Roman"/>
                <w:b/>
                <w:bCs/>
                <w:sz w:val="18"/>
                <w:szCs w:val="18"/>
                <w:lang w:eastAsia="uk-UA"/>
              </w:rPr>
              <w:t xml:space="preserve">перелік </w:t>
            </w:r>
            <w:r w:rsidRPr="00FC47C6">
              <w:rPr>
                <w:rFonts w:ascii="Times New Roman" w:hAnsi="Times New Roman" w:cs="Times New Roman"/>
                <w:b/>
                <w:spacing w:val="-2"/>
                <w:sz w:val="18"/>
                <w:szCs w:val="18"/>
                <w:lang w:eastAsia="uk-UA"/>
              </w:rPr>
              <w:t>питань для перевірки додержання суб’єктами господарювання у сфері залізничного транспорту обов’язкових для додержання всіма учасниками перевезення вимог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 наведені у додатку 3 до Угоди про міжнародне залізничне вантажне сполучення, до якої Україна приєдналася згідно з постановою Кабінету Міністрів України                                від 03 квітня 1993 року № 246 «Про угоди щодо міжнародного залізничного вантажного та пасажирського сполучення» (далі - додаток 3 до СМГС)</w:t>
            </w:r>
          </w:p>
          <w:p w:rsidR="00881F76" w:rsidRPr="00FC47C6" w:rsidRDefault="00881F76" w:rsidP="00881F76">
            <w:pPr>
              <w:spacing w:after="0" w:line="240" w:lineRule="auto"/>
              <w:jc w:val="center"/>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1</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загальна маса вантажу разом із засобами його кріплення у вагоні, а також необхідних для перевезення вантажу пристосувань не повинна перевищувати вантажопідйомність, зазначену на вагоні </w:t>
            </w:r>
          </w:p>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абзац перший пункту 32 Статуту залізниць України, затвердженого ПКМУ № 457;</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речення перше пункту 4.1 розділу 4</w:t>
            </w:r>
            <w:r w:rsidRPr="00FC47C6">
              <w:rPr>
                <w:rFonts w:ascii="Times New Roman" w:hAnsi="Times New Roman" w:cs="Times New Roman"/>
                <w:sz w:val="18"/>
                <w:szCs w:val="18"/>
              </w:rPr>
              <w:br/>
              <w:t xml:space="preserve">глави 1 </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додатку 3</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 СМГС  </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збереження </w:t>
            </w:r>
            <w:r w:rsidRPr="00FC47C6">
              <w:rPr>
                <w:rFonts w:ascii="Times New Roman" w:hAnsi="Times New Roman" w:cs="Times New Roman"/>
                <w:color w:val="000000"/>
                <w:sz w:val="18"/>
                <w:szCs w:val="18"/>
              </w:rPr>
              <w:lastRenderedPageBreak/>
              <w:t>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sz w:val="18"/>
                <w:szCs w:val="18"/>
              </w:rPr>
            </w:pPr>
            <w:r w:rsidRPr="00FC47C6">
              <w:rPr>
                <w:rFonts w:ascii="Times New Roman" w:hAnsi="Times New Roman" w:cs="Times New Roman"/>
                <w:sz w:val="18"/>
                <w:szCs w:val="18"/>
              </w:rPr>
              <w:t>загальна маса вантажу разом із засобами та пристосуваннями для його кріплення у вагоні була меншою або дорівнювала  вантажопідйомності, зазначеній на вагоні</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2</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FC47C6">
              <w:rPr>
                <w:rFonts w:ascii="Times New Roman" w:eastAsia="Times New Roman" w:hAnsi="Times New Roman" w:cs="Times New Roman"/>
                <w:sz w:val="18"/>
                <w:szCs w:val="18"/>
                <w:lang w:eastAsia="uk-UA"/>
              </w:rPr>
              <w:t xml:space="preserve">навантажений на відкритому  рухомому  складі  вантаж  (з </w:t>
            </w:r>
            <w:r w:rsidRPr="00FC47C6">
              <w:rPr>
                <w:rFonts w:ascii="Times New Roman" w:eastAsia="Times New Roman" w:hAnsi="Times New Roman" w:cs="Times New Roman"/>
                <w:sz w:val="18"/>
                <w:szCs w:val="18"/>
                <w:lang w:eastAsia="uk-UA"/>
              </w:rPr>
              <w:br/>
              <w:t xml:space="preserve">урахуванням упаковки та закріплення) повинен розміщуватися у межах </w:t>
            </w:r>
            <w:r w:rsidRPr="00FC47C6">
              <w:rPr>
                <w:rFonts w:ascii="Times New Roman" w:eastAsia="Times New Roman" w:hAnsi="Times New Roman" w:cs="Times New Roman"/>
                <w:sz w:val="18"/>
                <w:szCs w:val="18"/>
                <w:lang w:eastAsia="uk-UA"/>
              </w:rPr>
              <w:br/>
              <w:t>габаритів  навантаження,   визначених</w:t>
            </w:r>
            <w:r w:rsidRPr="00FC47C6">
              <w:rPr>
                <w:rFonts w:ascii="Times New Roman" w:eastAsia="Times New Roman" w:hAnsi="Times New Roman" w:cs="Times New Roman"/>
                <w:sz w:val="18"/>
                <w:szCs w:val="18"/>
                <w:lang w:eastAsia="uk-UA"/>
              </w:rPr>
              <w:br/>
              <w:t>АТ «Укрзалізниця»</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абзац перший пункту 2.6 розділу 2 ПТЕ залізниць України, затверджених наказом № 411; </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FC47C6">
              <w:rPr>
                <w:rFonts w:ascii="Times New Roman" w:eastAsia="Times New Roman" w:hAnsi="Times New Roman" w:cs="Times New Roman"/>
                <w:sz w:val="18"/>
                <w:szCs w:val="18"/>
                <w:lang w:eastAsia="uk-UA"/>
              </w:rPr>
              <w:t xml:space="preserve">навантажений на відкритому  рухомому  складі  вантаж  (з </w:t>
            </w:r>
            <w:r w:rsidRPr="00FC47C6">
              <w:rPr>
                <w:rFonts w:ascii="Times New Roman" w:eastAsia="Times New Roman" w:hAnsi="Times New Roman" w:cs="Times New Roman"/>
                <w:sz w:val="18"/>
                <w:szCs w:val="18"/>
                <w:lang w:eastAsia="uk-UA"/>
              </w:rPr>
              <w:br/>
              <w:t>урахуванням упаковки та кріплення)  розміщався у межах габаритів  навантаження, визначених</w:t>
            </w:r>
            <w:r w:rsidRPr="00FC47C6">
              <w:rPr>
                <w:rFonts w:ascii="Times New Roman" w:eastAsia="Times New Roman" w:hAnsi="Times New Roman" w:cs="Times New Roman"/>
                <w:sz w:val="18"/>
                <w:szCs w:val="18"/>
                <w:lang w:eastAsia="uk-UA"/>
              </w:rPr>
              <w:br/>
              <w:t>АТ «Укрзалізниця»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3</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FC47C6">
              <w:rPr>
                <w:rFonts w:ascii="Times New Roman" w:hAnsi="Times New Roman" w:cs="Times New Roman"/>
                <w:sz w:val="18"/>
                <w:szCs w:val="18"/>
              </w:rPr>
              <w:t xml:space="preserve">вихід вантажу у повздовжньому напрямку за межі кінцевих балок рами платформи або піввагона не повинен перевищувати </w:t>
            </w:r>
            <w:r w:rsidRPr="00FC47C6">
              <w:rPr>
                <w:rFonts w:ascii="Times New Roman" w:hAnsi="Times New Roman" w:cs="Times New Roman"/>
                <w:sz w:val="18"/>
                <w:szCs w:val="18"/>
              </w:rPr>
              <w:br/>
              <w:t xml:space="preserve">400 мм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пункт 4.2 розділу 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глави 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w:t>
            </w:r>
            <w:r w:rsidRPr="00FC47C6">
              <w:rPr>
                <w:rFonts w:ascii="Times New Roman" w:hAnsi="Times New Roman" w:cs="Times New Roman"/>
                <w:sz w:val="18"/>
                <w:szCs w:val="18"/>
              </w:rPr>
              <w:br/>
              <w:t xml:space="preserve">до СМГС  </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000000"/>
                <w:sz w:val="18"/>
                <w:szCs w:val="18"/>
              </w:rPr>
            </w:pPr>
            <w:r w:rsidRPr="00FC47C6">
              <w:rPr>
                <w:rFonts w:ascii="Times New Roman" w:hAnsi="Times New Roman" w:cs="Times New Roman"/>
                <w:sz w:val="18"/>
                <w:szCs w:val="18"/>
              </w:rPr>
              <w:t>вихід вантажу у поздовжньому напрямку за межі кінцевих</w:t>
            </w:r>
            <w:r w:rsidRPr="00FC47C6">
              <w:rPr>
                <w:rFonts w:ascii="Times New Roman" w:hAnsi="Times New Roman" w:cs="Times New Roman"/>
                <w:sz w:val="18"/>
                <w:szCs w:val="18"/>
              </w:rPr>
              <w:br/>
              <w:t>балок рами платформи або піввагона був меншим або дорівнював 400 мм</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4</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18"/>
                <w:szCs w:val="18"/>
              </w:rPr>
            </w:pPr>
            <w:r w:rsidRPr="00FC47C6">
              <w:rPr>
                <w:rFonts w:ascii="Times New Roman" w:hAnsi="Times New Roman" w:cs="Times New Roman"/>
                <w:sz w:val="18"/>
                <w:szCs w:val="18"/>
              </w:rPr>
              <w:t xml:space="preserve">загальний центр тяжіння вантажів повинен розміщатися, як правило, на </w:t>
            </w:r>
            <w:r w:rsidRPr="00FC47C6">
              <w:rPr>
                <w:rFonts w:ascii="Times New Roman" w:hAnsi="Times New Roman" w:cs="Times New Roman"/>
                <w:sz w:val="18"/>
                <w:szCs w:val="18"/>
              </w:rPr>
              <w:lastRenderedPageBreak/>
              <w:t>лінії перетину повздовжньої та поперечної площини симетрії вагона</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lastRenderedPageBreak/>
              <w:t xml:space="preserve">абзац перший пункту 4.3 розділу 4 </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lastRenderedPageBreak/>
              <w:t>глави 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додатку 3</w:t>
            </w:r>
            <w:r w:rsidRPr="00FC47C6">
              <w:rPr>
                <w:rFonts w:ascii="Times New Roman" w:hAnsi="Times New Roman" w:cs="Times New Roman"/>
                <w:sz w:val="18"/>
                <w:szCs w:val="18"/>
              </w:rPr>
              <w:br/>
              <w:t xml:space="preserve">до СМГС  </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lastRenderedPageBreak/>
              <w:t xml:space="preserve">дії працівників підприємств залізничного </w:t>
            </w:r>
            <w:r w:rsidRPr="00FC47C6">
              <w:rPr>
                <w:rFonts w:ascii="Times New Roman" w:hAnsi="Times New Roman" w:cs="Times New Roman"/>
                <w:sz w:val="18"/>
                <w:szCs w:val="18"/>
              </w:rPr>
              <w:lastRenderedPageBreak/>
              <w:t xml:space="preserve">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000000"/>
                <w:sz w:val="18"/>
                <w:szCs w:val="18"/>
              </w:rPr>
            </w:pPr>
            <w:r w:rsidRPr="00FC47C6">
              <w:rPr>
                <w:rFonts w:ascii="Times New Roman" w:hAnsi="Times New Roman" w:cs="Times New Roman"/>
                <w:sz w:val="18"/>
                <w:szCs w:val="18"/>
              </w:rPr>
              <w:t xml:space="preserve">загальний центр тяжіння вантажів  розміщався, як правило, на лінії перетину </w:t>
            </w:r>
            <w:r w:rsidRPr="00FC47C6">
              <w:rPr>
                <w:rFonts w:ascii="Times New Roman" w:hAnsi="Times New Roman" w:cs="Times New Roman"/>
                <w:sz w:val="18"/>
                <w:szCs w:val="18"/>
              </w:rPr>
              <w:lastRenderedPageBreak/>
              <w:t>п</w:t>
            </w:r>
            <w:r w:rsidR="00336166" w:rsidRPr="00FC47C6">
              <w:rPr>
                <w:rFonts w:ascii="Times New Roman" w:hAnsi="Times New Roman" w:cs="Times New Roman"/>
                <w:sz w:val="18"/>
                <w:szCs w:val="18"/>
              </w:rPr>
              <w:t>оздовжньої та поперечної площин</w:t>
            </w:r>
            <w:r w:rsidRPr="00FC47C6">
              <w:rPr>
                <w:rFonts w:ascii="Times New Roman" w:hAnsi="Times New Roman" w:cs="Times New Roman"/>
                <w:sz w:val="18"/>
                <w:szCs w:val="18"/>
              </w:rPr>
              <w:t xml:space="preserve"> симетрії вагона</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5</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18"/>
                <w:szCs w:val="18"/>
              </w:rPr>
            </w:pPr>
            <w:r w:rsidRPr="00FC47C6">
              <w:rPr>
                <w:rFonts w:ascii="Times New Roman" w:hAnsi="Times New Roman" w:cs="Times New Roman"/>
                <w:sz w:val="18"/>
                <w:szCs w:val="18"/>
              </w:rPr>
              <w:t>у випадку необхідності несиметричного розміщення вантажу у вагоні різниця у навантаженні візків не повинна перевищувати для 4-вісних вагонів 10 т;</w:t>
            </w:r>
            <w:r w:rsidRPr="00FC47C6">
              <w:rPr>
                <w:rFonts w:ascii="Times New Roman" w:hAnsi="Times New Roman" w:cs="Times New Roman"/>
                <w:sz w:val="18"/>
                <w:szCs w:val="18"/>
              </w:rPr>
              <w:br/>
              <w:t xml:space="preserve">6-вісних – 15 т; </w:t>
            </w:r>
            <w:r w:rsidRPr="00FC47C6">
              <w:rPr>
                <w:rFonts w:ascii="Times New Roman" w:hAnsi="Times New Roman" w:cs="Times New Roman"/>
                <w:sz w:val="18"/>
                <w:szCs w:val="18"/>
              </w:rPr>
              <w:br/>
              <w:t>8-вісних – 20 т</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перше речення абзацу другого пункту 4.3 розділу 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глави 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додатку 3</w:t>
            </w:r>
            <w:r w:rsidRPr="00FC47C6">
              <w:rPr>
                <w:rFonts w:ascii="Times New Roman" w:hAnsi="Times New Roman" w:cs="Times New Roman"/>
                <w:sz w:val="18"/>
                <w:szCs w:val="18"/>
              </w:rPr>
              <w:br/>
              <w:t>до СМГС</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000000"/>
                <w:sz w:val="18"/>
                <w:szCs w:val="18"/>
              </w:rPr>
            </w:pPr>
            <w:r w:rsidRPr="00FC47C6">
              <w:rPr>
                <w:rFonts w:ascii="Times New Roman" w:hAnsi="Times New Roman" w:cs="Times New Roman"/>
                <w:sz w:val="18"/>
                <w:szCs w:val="18"/>
              </w:rPr>
              <w:t xml:space="preserve">різниця у навантаженні візків навантажених вагонів була меншою або дорівнювала </w:t>
            </w:r>
            <w:r w:rsidRPr="00FC47C6">
              <w:rPr>
                <w:rFonts w:ascii="Times New Roman" w:hAnsi="Times New Roman" w:cs="Times New Roman"/>
                <w:sz w:val="18"/>
                <w:szCs w:val="18"/>
              </w:rPr>
              <w:br/>
              <w:t xml:space="preserve">для 4-вісних вагонів 10 т; </w:t>
            </w:r>
            <w:r w:rsidRPr="00FC47C6">
              <w:rPr>
                <w:rFonts w:ascii="Times New Roman" w:hAnsi="Times New Roman" w:cs="Times New Roman"/>
                <w:sz w:val="18"/>
                <w:szCs w:val="18"/>
              </w:rPr>
              <w:br/>
              <w:t xml:space="preserve">6-вісних – 15 т; </w:t>
            </w:r>
            <w:r w:rsidRPr="00FC47C6">
              <w:rPr>
                <w:rFonts w:ascii="Times New Roman" w:hAnsi="Times New Roman" w:cs="Times New Roman"/>
                <w:sz w:val="18"/>
                <w:szCs w:val="18"/>
              </w:rPr>
              <w:br/>
              <w:t>8-вісних – 20 т</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6</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FC47C6">
              <w:rPr>
                <w:rFonts w:ascii="Times New Roman" w:hAnsi="Times New Roman" w:cs="Times New Roman"/>
                <w:sz w:val="18"/>
                <w:szCs w:val="18"/>
              </w:rPr>
              <w:t xml:space="preserve">навантаження, що діє на кожен візок, повинно бути не більше половини вантажопідйомності вагона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речення друге абзацу другого пункту 4.3 розділу 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глави 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додатку 3</w:t>
            </w:r>
            <w:r w:rsidRPr="00FC47C6">
              <w:rPr>
                <w:rFonts w:ascii="Times New Roman" w:hAnsi="Times New Roman" w:cs="Times New Roman"/>
                <w:sz w:val="18"/>
                <w:szCs w:val="18"/>
              </w:rPr>
              <w:br/>
              <w:t xml:space="preserve">до СМГС  </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w:t>
            </w:r>
            <w:r w:rsidRPr="00FC47C6">
              <w:rPr>
                <w:rFonts w:ascii="Times New Roman" w:hAnsi="Times New Roman" w:cs="Times New Roman"/>
                <w:color w:val="000000"/>
                <w:sz w:val="18"/>
                <w:szCs w:val="18"/>
              </w:rPr>
              <w:lastRenderedPageBreak/>
              <w:t>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sz w:val="18"/>
                <w:szCs w:val="18"/>
              </w:rPr>
            </w:pPr>
            <w:r w:rsidRPr="00FC47C6">
              <w:rPr>
                <w:rFonts w:ascii="Times New Roman" w:hAnsi="Times New Roman" w:cs="Times New Roman"/>
                <w:sz w:val="18"/>
                <w:szCs w:val="18"/>
              </w:rPr>
              <w:t xml:space="preserve">навантаження, що діяло на кожен візок навантажених вагонів, було меншим або дорівнювало половині вантажопідйомності цих вагонів  </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FC47C6">
              <w:rPr>
                <w:rFonts w:ascii="Times New Roman" w:hAnsi="Times New Roman" w:cs="Times New Roman"/>
                <w:sz w:val="18"/>
                <w:szCs w:val="18"/>
              </w:rPr>
              <w:t xml:space="preserve">при </w:t>
            </w:r>
            <w:r w:rsidRPr="00FC47C6">
              <w:rPr>
                <w:rFonts w:ascii="Times New Roman" w:hAnsi="Times New Roman" w:cs="Times New Roman"/>
                <w:color w:val="000000"/>
                <w:sz w:val="18"/>
                <w:szCs w:val="18"/>
              </w:rPr>
              <w:t xml:space="preserve">навантаженні, розвантаженні вагонів та перевезенні вантажів у (на) вагонах </w:t>
            </w:r>
            <w:r w:rsidRPr="00FC47C6">
              <w:rPr>
                <w:rFonts w:ascii="Times New Roman" w:hAnsi="Times New Roman" w:cs="Times New Roman"/>
                <w:sz w:val="18"/>
                <w:szCs w:val="18"/>
              </w:rPr>
              <w:t xml:space="preserve">колії 1520 мм повинні виконуватися вимоги щодо забезпечення збереження вагонів, викладені у </w:t>
            </w:r>
            <w:r w:rsidRPr="00FC47C6">
              <w:rPr>
                <w:rFonts w:ascii="Times New Roman" w:hAnsi="Times New Roman" w:cs="Times New Roman"/>
                <w:bCs/>
                <w:sz w:val="18"/>
                <w:szCs w:val="18"/>
                <w:bdr w:val="none" w:sz="0" w:space="0" w:color="auto" w:frame="1"/>
              </w:rPr>
              <w:t>Національному стандарті України «Вагони вантажні магістральних залізничних</w:t>
            </w:r>
            <w:r w:rsidRPr="00FC47C6">
              <w:rPr>
                <w:rStyle w:val="apple-converted-space"/>
                <w:rFonts w:ascii="Times New Roman" w:hAnsi="Times New Roman" w:cs="Times New Roman"/>
                <w:bCs/>
                <w:sz w:val="18"/>
                <w:szCs w:val="18"/>
                <w:bdr w:val="none" w:sz="0" w:space="0" w:color="auto" w:frame="1"/>
              </w:rPr>
              <w:t> </w:t>
            </w:r>
            <w:r w:rsidRPr="00FC47C6">
              <w:rPr>
                <w:rFonts w:ascii="Times New Roman" w:hAnsi="Times New Roman" w:cs="Times New Roman"/>
                <w:bCs/>
                <w:sz w:val="18"/>
                <w:szCs w:val="18"/>
                <w:bdr w:val="none" w:sz="0" w:space="0" w:color="auto" w:frame="1"/>
              </w:rPr>
              <w:t>доріг колії</w:t>
            </w:r>
            <w:r w:rsidRPr="00FC47C6">
              <w:rPr>
                <w:rFonts w:ascii="Times New Roman" w:hAnsi="Times New Roman" w:cs="Times New Roman"/>
                <w:bCs/>
                <w:sz w:val="18"/>
                <w:szCs w:val="18"/>
                <w:bdr w:val="none" w:sz="0" w:space="0" w:color="auto" w:frame="1"/>
              </w:rPr>
              <w:br/>
              <w:t xml:space="preserve">1520 мм. </w:t>
            </w:r>
            <w:r w:rsidRPr="00FC47C6">
              <w:rPr>
                <w:rFonts w:ascii="Times New Roman" w:hAnsi="Times New Roman" w:cs="Times New Roman"/>
                <w:bCs/>
                <w:sz w:val="18"/>
                <w:szCs w:val="18"/>
                <w:bdr w:val="none" w:sz="0" w:space="0" w:color="auto" w:frame="1"/>
                <w:lang w:eastAsia="ru-RU"/>
              </w:rPr>
              <w:t>Загальні вимоги щодо забезпечення збереження  під час завантажувально-розвантажувальних та маневрових робіт</w:t>
            </w:r>
            <w:r w:rsidRPr="00FC47C6">
              <w:rPr>
                <w:rStyle w:val="apple-converted-space"/>
                <w:rFonts w:ascii="Times New Roman" w:hAnsi="Times New Roman" w:cs="Times New Roman"/>
                <w:bCs/>
                <w:sz w:val="18"/>
                <w:szCs w:val="18"/>
                <w:bdr w:val="none" w:sz="0" w:space="0" w:color="auto" w:frame="1"/>
                <w:lang w:eastAsia="ru-RU"/>
              </w:rPr>
              <w:t> </w:t>
            </w:r>
            <w:r w:rsidRPr="00FC47C6">
              <w:rPr>
                <w:rFonts w:ascii="Times New Roman" w:hAnsi="Times New Roman" w:cs="Times New Roman"/>
                <w:bCs/>
                <w:sz w:val="18"/>
                <w:szCs w:val="18"/>
                <w:bdr w:val="none" w:sz="0" w:space="0" w:color="auto" w:frame="1"/>
                <w:lang w:eastAsia="ru-RU"/>
              </w:rPr>
              <w:br/>
              <w:t>(ГОСТ 22235-2010, IDT)»</w:t>
            </w:r>
            <w:r w:rsidRPr="00FC47C6">
              <w:rPr>
                <w:rFonts w:ascii="Times New Roman" w:hAnsi="Times New Roman" w:cs="Times New Roman"/>
                <w:sz w:val="18"/>
                <w:szCs w:val="18"/>
              </w:rPr>
              <w:t xml:space="preserve">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загальні вимоги,</w:t>
            </w:r>
            <w:r w:rsidRPr="00FC47C6">
              <w:rPr>
                <w:rFonts w:ascii="Times New Roman" w:hAnsi="Times New Roman" w:cs="Times New Roman"/>
                <w:sz w:val="18"/>
                <w:szCs w:val="18"/>
              </w:rPr>
              <w:br/>
              <w:t>пункт 6</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додатку 3 до СМГС</w:t>
            </w:r>
          </w:p>
        </w:tc>
        <w:tc>
          <w:tcPr>
            <w:tcW w:w="1418" w:type="dxa"/>
          </w:tcPr>
          <w:p w:rsidR="00881F76" w:rsidRPr="00FC47C6" w:rsidRDefault="00881F76" w:rsidP="00881F76">
            <w:pPr>
              <w:spacing w:after="0" w:line="240" w:lineRule="auto"/>
              <w:rPr>
                <w:rFonts w:ascii="Times New Roman" w:hAnsi="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FC47C6">
              <w:rPr>
                <w:rFonts w:ascii="Times New Roman" w:hAnsi="Times New Roman" w:cs="Times New Roman"/>
                <w:sz w:val="18"/>
                <w:szCs w:val="18"/>
              </w:rPr>
              <w:t>допустиме зміщення загального центру тяжіння вантажу у повздовжньому напрямку (відносно поперечної площини симетрії) при навантаженні вантажу та при його перевезенні визначається відповідно до таблиці 9 пункту 4.3 розділу 4 глави 1</w:t>
            </w:r>
            <w:r w:rsidRPr="00FC47C6">
              <w:rPr>
                <w:rFonts w:ascii="Times New Roman" w:hAnsi="Times New Roman" w:cs="Times New Roman"/>
                <w:sz w:val="18"/>
                <w:szCs w:val="18"/>
              </w:rPr>
              <w:br/>
              <w:t>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4.3, таблиця 9</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збереження залізничного рухомого </w:t>
            </w:r>
            <w:r w:rsidRPr="00FC47C6">
              <w:rPr>
                <w:rFonts w:ascii="Times New Roman" w:hAnsi="Times New Roman" w:cs="Times New Roman"/>
                <w:color w:val="000000"/>
                <w:sz w:val="18"/>
                <w:szCs w:val="18"/>
              </w:rPr>
              <w:lastRenderedPageBreak/>
              <w:t>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інші 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8"/>
                <w:szCs w:val="18"/>
                <w:lang w:eastAsia="uk-UA"/>
              </w:rPr>
            </w:pPr>
            <w:r w:rsidRPr="00FC47C6">
              <w:rPr>
                <w:rFonts w:ascii="Times New Roman" w:hAnsi="Times New Roman" w:cs="Times New Roman"/>
                <w:sz w:val="18"/>
                <w:szCs w:val="18"/>
              </w:rPr>
              <w:t>допустиме зміщення загального центру тяжіння вантажу у поперечному  напрямку (відносно повздовжньої площини симетрії) при навантаженні вантажу та при його перевезенні визначається відповідно до таблиці 10 пункту 4.3 розділу 4 глави 1</w:t>
            </w:r>
            <w:r w:rsidRPr="00FC47C6">
              <w:rPr>
                <w:rFonts w:ascii="Times New Roman" w:hAnsi="Times New Roman" w:cs="Times New Roman"/>
                <w:sz w:val="18"/>
                <w:szCs w:val="18"/>
              </w:rPr>
              <w:br/>
              <w:t>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4.3, таблиця 10</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максимальні відстані між центрами тяжіння вантажів при кососиметричному їх розміщенні наведені у таблиці 11 пункту 4.8 розділу 4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4.8, таблиця 11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вимоги щодо розміщення підкладок у межах бази платформи, наведені у таблиці 12 пункту 4.9 </w:t>
            </w:r>
            <w:r w:rsidRPr="00FC47C6">
              <w:rPr>
                <w:rFonts w:ascii="Times New Roman" w:hAnsi="Times New Roman" w:cs="Times New Roman"/>
                <w:sz w:val="18"/>
                <w:szCs w:val="18"/>
              </w:rPr>
              <w:lastRenderedPageBreak/>
              <w:t xml:space="preserve">розділу 4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lastRenderedPageBreak/>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4.9, таблиця 12</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lastRenderedPageBreak/>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lastRenderedPageBreak/>
              <w:t xml:space="preserve">дії працівників підприємств залізничного транспорту щодо </w:t>
            </w:r>
            <w:r w:rsidRPr="00FC47C6">
              <w:rPr>
                <w:rFonts w:ascii="Times New Roman" w:hAnsi="Times New Roman" w:cs="Times New Roman"/>
                <w:color w:val="000000"/>
                <w:sz w:val="18"/>
                <w:szCs w:val="18"/>
              </w:rPr>
              <w:lastRenderedPageBreak/>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 xml:space="preserve">обов’язкові для дотримання всіма учасниками перевезення вимоги щодо розміщення, закріплення вантажів, </w:t>
            </w:r>
            <w:r w:rsidRPr="00FC47C6">
              <w:rPr>
                <w:rFonts w:ascii="Times New Roman" w:hAnsi="Times New Roman" w:cs="Times New Roman"/>
                <w:color w:val="000000"/>
                <w:sz w:val="18"/>
                <w:szCs w:val="18"/>
              </w:rPr>
              <w:lastRenderedPageBreak/>
              <w:t>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336ACD"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підкладок за межами бази платформи, наведені у таблиці 13 пункту 4.9 розділу 4 глави 1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4.9, таблиця 13</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вимоги щодо допустимих  навантажень на поперечні балки чотиривісних піввагонів, наведені у таблиці 15 пункту 4.10 розділу 4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4.10, таблиця 15</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w:t>
            </w:r>
            <w:r w:rsidRPr="00FC47C6">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вимоги щодо допустимих схем розподілу навантажень на кришку люка піввагона, наведені у пункті 4.11 розділу 4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4.11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вимоги щодо допустимих навантажень на деталі та вузли платформ, що використовуються для кріплення вантажу, наведені у таблиці 16 пункту 5.1 розділу 5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5, </w:t>
            </w:r>
            <w:r w:rsidRPr="00FC47C6">
              <w:rPr>
                <w:rFonts w:ascii="Times New Roman" w:hAnsi="Times New Roman" w:cs="Times New Roman"/>
                <w:sz w:val="18"/>
                <w:szCs w:val="18"/>
              </w:rPr>
              <w:br/>
              <w:t>пункт 5.1, таблиця 16</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допустимих навантажень на металеві борти універсальних платформ, які були побудовані після 1964 року, наведені у таблиці 17</w:t>
            </w:r>
            <w:r w:rsidRPr="00FC47C6">
              <w:rPr>
                <w:rFonts w:ascii="Times New Roman" w:hAnsi="Times New Roman" w:cs="Times New Roman"/>
                <w:sz w:val="18"/>
                <w:szCs w:val="18"/>
              </w:rPr>
              <w:br/>
              <w:t xml:space="preserve">пункту 5.1 розділу 5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5, </w:t>
            </w:r>
            <w:r w:rsidRPr="00FC47C6">
              <w:rPr>
                <w:rFonts w:ascii="Times New Roman" w:hAnsi="Times New Roman" w:cs="Times New Roman"/>
                <w:sz w:val="18"/>
                <w:szCs w:val="18"/>
              </w:rPr>
              <w:br/>
              <w:t>пункт 5.1, таблиця 17</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допустимих навантажень на елементи кузова універсальних піввагонів, наведені у таблиці 18 пункту 5.2 розділу 5 глави 1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5, </w:t>
            </w:r>
            <w:r w:rsidRPr="00FC47C6">
              <w:rPr>
                <w:rFonts w:ascii="Times New Roman" w:hAnsi="Times New Roman" w:cs="Times New Roman"/>
                <w:sz w:val="18"/>
                <w:szCs w:val="18"/>
              </w:rPr>
              <w:br/>
              <w:t>пункт 5.2, таблиця 18</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допустимих навантажень на ув’язочні пристрої піввагонів, наведені у таблиці 19</w:t>
            </w:r>
            <w:r w:rsidRPr="00FC47C6">
              <w:rPr>
                <w:rFonts w:ascii="Times New Roman" w:hAnsi="Times New Roman" w:cs="Times New Roman"/>
                <w:sz w:val="18"/>
                <w:szCs w:val="18"/>
              </w:rPr>
              <w:br/>
              <w:t xml:space="preserve">пункту 5.2 розділу 5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5, </w:t>
            </w:r>
            <w:r w:rsidRPr="00FC47C6">
              <w:rPr>
                <w:rFonts w:ascii="Times New Roman" w:hAnsi="Times New Roman" w:cs="Times New Roman"/>
                <w:sz w:val="18"/>
                <w:szCs w:val="18"/>
              </w:rPr>
              <w:br/>
              <w:t>пункт 5.2, таблиця 19</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w:t>
            </w:r>
            <w:r w:rsidRPr="00FC47C6">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 xml:space="preserve">обов’язкові для дотримання всіма учасниками перевезення вимоги щодо розміщення, закріплення вантажів, способу навантаження, розвантаження вагонів, </w:t>
            </w:r>
            <w:r w:rsidRPr="00FC47C6">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допустимих моментів на згинання у рамах чотиривісних піввагонів та платформ, наведені у таблиці 14</w:t>
            </w:r>
            <w:r w:rsidRPr="00FC47C6">
              <w:rPr>
                <w:rFonts w:ascii="Times New Roman" w:hAnsi="Times New Roman" w:cs="Times New Roman"/>
                <w:sz w:val="18"/>
                <w:szCs w:val="18"/>
              </w:rPr>
              <w:br/>
              <w:t xml:space="preserve">пункту 4.10 розділу 4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4, </w:t>
            </w:r>
            <w:r w:rsidRPr="00FC47C6">
              <w:rPr>
                <w:rFonts w:ascii="Times New Roman" w:hAnsi="Times New Roman" w:cs="Times New Roman"/>
                <w:sz w:val="18"/>
                <w:szCs w:val="18"/>
              </w:rPr>
              <w:br/>
              <w:t>пункт 4.10, таблиця 14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для вантажів, способи розміщення і кріплення яких на відкритому рухомому складі не передбачені відповідними главами  додатку 3 до СМГС, застосовуються місцеві технічні умови (МТУ) або схеми розміщення і кріплення вантажів (НТУ), розроблені у відповідності до вимог розділу 13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розділ 13 пункти</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13.1 – 13.3</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FC47C6">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вагони перед навантаженням </w:t>
            </w:r>
          </w:p>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повинні бути очищені від залишків вантажу, що перевозився раніше, засобів кріплення, мусору, бруду, снігу та льоду. Конструктивні зазори кузова вагону, які можуть стати причиною пошкодження або втрати вантажу, повинні бути закриті із середини вагону. Спосіб закриття таких зазорів повинен забезпечувати збереження вагона, можливість поновлення первинного робочого стану вагона після перевезення вантажу і не повинен вносити зміни у конструкцію вагона. Застосування для таких цілей монтажної піни та інших подібних матеріалів заборонено.</w:t>
            </w:r>
          </w:p>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У зимовий період підлога вагона та поверхня підкладок у місцях спирання вантажу повинні бути посипані сухим піском шаром у 2 мм</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7, </w:t>
            </w:r>
            <w:r w:rsidRPr="00FC47C6">
              <w:rPr>
                <w:rFonts w:ascii="Times New Roman" w:hAnsi="Times New Roman" w:cs="Times New Roman"/>
                <w:sz w:val="18"/>
                <w:szCs w:val="18"/>
              </w:rPr>
              <w:br/>
              <w:t>пункт 7.1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BC1043"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вимоги щодо засобів кріплення вантажів у вагонах, наведені у пунктах 9.1 – 9.28 розділу 9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9, </w:t>
            </w:r>
            <w:r w:rsidRPr="00FC47C6">
              <w:rPr>
                <w:rFonts w:ascii="Times New Roman" w:hAnsi="Times New Roman" w:cs="Times New Roman"/>
                <w:sz w:val="18"/>
                <w:szCs w:val="18"/>
              </w:rPr>
              <w:br/>
              <w:t xml:space="preserve">пункти </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9.1 – 9.28</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w:t>
            </w:r>
            <w:r w:rsidRPr="00FC47C6">
              <w:rPr>
                <w:rFonts w:ascii="Times New Roman" w:hAnsi="Times New Roman" w:cs="Times New Roman"/>
                <w:color w:val="000000"/>
                <w:sz w:val="18"/>
                <w:szCs w:val="18"/>
              </w:rPr>
              <w:lastRenderedPageBreak/>
              <w:t>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 xml:space="preserve">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w:t>
            </w:r>
            <w:r w:rsidRPr="00FC47C6">
              <w:rPr>
                <w:rFonts w:ascii="Times New Roman" w:hAnsi="Times New Roman" w:cs="Times New Roman"/>
                <w:color w:val="000000"/>
                <w:sz w:val="18"/>
                <w:szCs w:val="18"/>
              </w:rPr>
              <w:lastRenderedPageBreak/>
              <w:t>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багатооборотних засобів кріплення вантажів у вагонах, наведені у пунктах 10.1 – 10.6 розділу 10 глави 1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10, </w:t>
            </w:r>
            <w:r w:rsidRPr="00FC47C6">
              <w:rPr>
                <w:rFonts w:ascii="Times New Roman" w:hAnsi="Times New Roman" w:cs="Times New Roman"/>
                <w:sz w:val="18"/>
                <w:szCs w:val="18"/>
              </w:rPr>
              <w:br/>
              <w:t>пункти</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10.1 – 10.6</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методика розрахунку розміщення і кріплення вантажів у вагонах наведена у пунктах 11.1 – 11.5 </w:t>
            </w:r>
            <w:r w:rsidRPr="00FC47C6">
              <w:rPr>
                <w:rFonts w:ascii="Times New Roman" w:hAnsi="Times New Roman" w:cs="Times New Roman"/>
                <w:sz w:val="18"/>
                <w:szCs w:val="18"/>
              </w:rPr>
              <w:br/>
              <w:t xml:space="preserve">розділу 11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11, </w:t>
            </w:r>
            <w:r w:rsidRPr="00FC47C6">
              <w:rPr>
                <w:rFonts w:ascii="Times New Roman" w:hAnsi="Times New Roman" w:cs="Times New Roman"/>
                <w:sz w:val="18"/>
                <w:szCs w:val="18"/>
              </w:rPr>
              <w:br/>
              <w:t>пункти</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11.1 – 11.5</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збереження залізничного рухомого </w:t>
            </w:r>
            <w:r w:rsidRPr="00FC47C6">
              <w:rPr>
                <w:rFonts w:ascii="Times New Roman" w:hAnsi="Times New Roman" w:cs="Times New Roman"/>
                <w:color w:val="000000"/>
                <w:sz w:val="18"/>
                <w:szCs w:val="18"/>
              </w:rPr>
              <w:lastRenderedPageBreak/>
              <w:t>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 xml:space="preserve">особливості розміщення і кріплення вантажів, які при навантаженні у вагон, виходять за межі однієї або двох кінцевих балок його рами, наведені у пунктах 12.1 – 12.9 розділу 12 глави 1 додатку 3 до СМГС   </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глава 1, </w:t>
            </w:r>
            <w:r w:rsidRPr="00FC47C6">
              <w:rPr>
                <w:rFonts w:ascii="Times New Roman" w:hAnsi="Times New Roman" w:cs="Times New Roman"/>
                <w:sz w:val="18"/>
                <w:szCs w:val="18"/>
              </w:rPr>
              <w:br/>
              <w:t xml:space="preserve">розділ 12, </w:t>
            </w:r>
            <w:r w:rsidRPr="00FC47C6">
              <w:rPr>
                <w:rFonts w:ascii="Times New Roman" w:hAnsi="Times New Roman" w:cs="Times New Roman"/>
                <w:sz w:val="18"/>
                <w:szCs w:val="18"/>
              </w:rPr>
              <w:br/>
              <w:t>пункти</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12.1 – 12.9</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лісоматеріалів, наведені у главі 2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2</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металопродукції та брухту металевого, наведені у главі 3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3</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lastRenderedPageBreak/>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 xml:space="preserve">обов’язкові для дотримання всіма учасниками перевезення вимоги щодо розміщення, закріплення вантажів, </w:t>
            </w:r>
            <w:r w:rsidRPr="00FC47C6">
              <w:rPr>
                <w:rFonts w:ascii="Times New Roman" w:hAnsi="Times New Roman" w:cs="Times New Roman"/>
                <w:color w:val="000000"/>
                <w:sz w:val="18"/>
                <w:szCs w:val="18"/>
              </w:rPr>
              <w:lastRenderedPageBreak/>
              <w:t>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будівельних вантажів, наведені у главі 4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вантажів з пласкими опорами, наведені у главі 5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5</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w:t>
            </w:r>
            <w:r w:rsidRPr="00FC47C6">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вантажів циліндричної форми, наведені у главі 6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6</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колісної техніки, наведені у главі 7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7</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техніки на гусеницях, наведені у главі 8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8</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контейнерів та кузовів, що знімаються, наведені у главі 9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9</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вантажів, що сформовані у пакети, наведені у главі 10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10</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w:t>
            </w:r>
            <w:r w:rsidRPr="00FC47C6">
              <w:rPr>
                <w:rFonts w:ascii="Times New Roman" w:hAnsi="Times New Roman" w:cs="Times New Roman"/>
                <w:color w:val="000000"/>
                <w:sz w:val="18"/>
                <w:szCs w:val="18"/>
              </w:rPr>
              <w:lastRenderedPageBreak/>
              <w:t>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 xml:space="preserve">обов’язкові для дотримання всіма учасниками перевезення вимоги щодо розміщення, закріплення вантажів, способу навантаження, розвантаження вагонів, </w:t>
            </w:r>
            <w:r w:rsidRPr="00FC47C6">
              <w:rPr>
                <w:rFonts w:ascii="Times New Roman" w:hAnsi="Times New Roman" w:cs="Times New Roman"/>
                <w:color w:val="000000"/>
                <w:sz w:val="18"/>
                <w:szCs w:val="18"/>
              </w:rPr>
              <w:lastRenderedPageBreak/>
              <w:t>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вантажів у критих вагонах, наведені у главі 11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11</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автопоїздів, автомобілів, напівпричепів, причепів, тягачів, автомобільних кузовів, що знімаються, наведені у главі 12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12</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 xml:space="preserve">розміщення, закріплення вантажів, способу навантаження, розвантаження вагонів, забезпечення безпеки руху, </w:t>
            </w:r>
            <w:r w:rsidRPr="00FC47C6">
              <w:rPr>
                <w:rFonts w:ascii="Times New Roman" w:hAnsi="Times New Roman" w:cs="Times New Roman"/>
                <w:color w:val="000000"/>
                <w:sz w:val="18"/>
                <w:szCs w:val="18"/>
              </w:rPr>
              <w:lastRenderedPageBreak/>
              <w:t>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і кріплення шин і коліс, наведені у главі 13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13</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881F76" w:rsidRPr="00FC47C6" w:rsidTr="00FC47C6">
        <w:trPr>
          <w:trHeight w:val="291"/>
        </w:trPr>
        <w:tc>
          <w:tcPr>
            <w:tcW w:w="646" w:type="dxa"/>
            <w:shd w:val="clear" w:color="auto" w:fill="auto"/>
          </w:tcPr>
          <w:p w:rsidR="00881F76" w:rsidRPr="00FC47C6" w:rsidRDefault="005E2D67"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7</w:t>
            </w:r>
          </w:p>
        </w:tc>
        <w:tc>
          <w:tcPr>
            <w:tcW w:w="2433" w:type="dxa"/>
            <w:gridSpan w:val="2"/>
          </w:tcPr>
          <w:p w:rsidR="00881F76" w:rsidRPr="00FC47C6" w:rsidRDefault="00881F76" w:rsidP="0088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sz w:val="18"/>
                <w:szCs w:val="18"/>
              </w:rPr>
              <w:t>вимоги щодо розміщення  вантажів, що перевозяться навалом та насипом на відкритому рухомому складі, наведені у главі 14 додатку 3 до СМГС</w:t>
            </w:r>
          </w:p>
        </w:tc>
        <w:tc>
          <w:tcPr>
            <w:tcW w:w="1443" w:type="dxa"/>
            <w:gridSpan w:val="2"/>
          </w:tcPr>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глава 14</w:t>
            </w:r>
          </w:p>
          <w:p w:rsidR="00881F76" w:rsidRPr="00FC47C6" w:rsidRDefault="00881F76" w:rsidP="00881F76">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додатку 3 до СМГС   </w:t>
            </w:r>
          </w:p>
        </w:tc>
        <w:tc>
          <w:tcPr>
            <w:tcW w:w="1418" w:type="dxa"/>
          </w:tcPr>
          <w:p w:rsidR="00881F76" w:rsidRPr="00FC47C6" w:rsidRDefault="00881F76" w:rsidP="00881F76">
            <w:pPr>
              <w:spacing w:after="0" w:line="240" w:lineRule="auto"/>
              <w:rPr>
                <w:rFonts w:ascii="Times New Roman" w:hAnsi="Times New Roman" w:cs="Times New Roman"/>
                <w:color w:val="000000"/>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p w:rsidR="00881F76" w:rsidRPr="00FC47C6" w:rsidRDefault="00881F76" w:rsidP="00881F76">
            <w:pPr>
              <w:spacing w:after="0" w:line="240" w:lineRule="auto"/>
              <w:rPr>
                <w:rFonts w:ascii="Times New Roman" w:hAnsi="Times New Roman" w:cs="Times New Roman"/>
                <w:color w:val="000000"/>
                <w:sz w:val="18"/>
                <w:szCs w:val="18"/>
              </w:rPr>
            </w:pPr>
          </w:p>
          <w:p w:rsidR="00881F76" w:rsidRPr="00FC47C6" w:rsidRDefault="00881F76" w:rsidP="00881F76">
            <w:pPr>
              <w:spacing w:after="0" w:line="240" w:lineRule="auto"/>
              <w:rPr>
                <w:rFonts w:ascii="Times New Roman" w:hAnsi="Times New Roman" w:cs="Times New Roman"/>
                <w:sz w:val="18"/>
                <w:szCs w:val="18"/>
              </w:rPr>
            </w:pPr>
          </w:p>
        </w:tc>
        <w:tc>
          <w:tcPr>
            <w:tcW w:w="1417" w:type="dxa"/>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881F76" w:rsidRPr="00FC47C6" w:rsidRDefault="00881F76" w:rsidP="00881F76">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881F76" w:rsidRPr="00FC47C6" w:rsidRDefault="00881F76" w:rsidP="00881F76">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881F76" w:rsidRPr="00FC47C6" w:rsidRDefault="00881F76" w:rsidP="00881F76">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881F76" w:rsidRPr="00FC47C6" w:rsidRDefault="00881F76" w:rsidP="00881F76">
            <w:pPr>
              <w:spacing w:after="0" w:line="240" w:lineRule="auto"/>
              <w:jc w:val="both"/>
              <w:rPr>
                <w:rFonts w:ascii="Times New Roman" w:hAnsi="Times New Roman" w:cs="Times New Roman"/>
                <w:sz w:val="18"/>
                <w:szCs w:val="18"/>
              </w:rPr>
            </w:pPr>
          </w:p>
        </w:tc>
      </w:tr>
      <w:tr w:rsidR="005E2D67" w:rsidRPr="00FC47C6" w:rsidTr="00FC47C6">
        <w:trPr>
          <w:trHeight w:val="291"/>
        </w:trPr>
        <w:tc>
          <w:tcPr>
            <w:tcW w:w="646" w:type="dxa"/>
            <w:shd w:val="clear" w:color="auto" w:fill="auto"/>
          </w:tcPr>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lastRenderedPageBreak/>
              <w:t>7</w:t>
            </w:r>
          </w:p>
        </w:tc>
        <w:tc>
          <w:tcPr>
            <w:tcW w:w="2433" w:type="dxa"/>
            <w:gridSpan w:val="2"/>
          </w:tcPr>
          <w:p w:rsidR="005E2D67" w:rsidRPr="00FC47C6" w:rsidRDefault="005E2D67" w:rsidP="005E2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18"/>
                <w:szCs w:val="18"/>
              </w:rPr>
            </w:pPr>
            <w:r w:rsidRPr="00FC47C6">
              <w:rPr>
                <w:rFonts w:ascii="Times New Roman" w:hAnsi="Times New Roman" w:cs="Times New Roman"/>
                <w:color w:val="212529"/>
                <w:sz w:val="18"/>
                <w:szCs w:val="18"/>
                <w:shd w:val="clear" w:color="auto" w:fill="FFFFFF"/>
              </w:rPr>
              <w:t xml:space="preserve">відправник зобов'язаний підготувати вантаж з урахуванням його </w:t>
            </w:r>
            <w:r w:rsidRPr="00FC47C6">
              <w:rPr>
                <w:rFonts w:ascii="Times New Roman" w:hAnsi="Times New Roman" w:cs="Times New Roman"/>
                <w:color w:val="212529"/>
                <w:sz w:val="18"/>
                <w:szCs w:val="18"/>
              </w:rPr>
              <w:br/>
            </w:r>
            <w:r w:rsidRPr="00FC47C6">
              <w:rPr>
                <w:rFonts w:ascii="Times New Roman" w:hAnsi="Times New Roman" w:cs="Times New Roman"/>
                <w:color w:val="212529"/>
                <w:sz w:val="18"/>
                <w:szCs w:val="18"/>
                <w:shd w:val="clear" w:color="auto" w:fill="FFFFFF"/>
              </w:rPr>
              <w:t xml:space="preserve">схоронності  під  час транспортування і здійснювати навантаження з </w:t>
            </w:r>
            <w:r w:rsidRPr="00FC47C6">
              <w:rPr>
                <w:rFonts w:ascii="Times New Roman" w:hAnsi="Times New Roman" w:cs="Times New Roman"/>
                <w:color w:val="212529"/>
                <w:sz w:val="18"/>
                <w:szCs w:val="18"/>
              </w:rPr>
              <w:br/>
            </w:r>
            <w:r w:rsidRPr="00FC47C6">
              <w:rPr>
                <w:rFonts w:ascii="Times New Roman" w:hAnsi="Times New Roman" w:cs="Times New Roman"/>
                <w:color w:val="212529"/>
                <w:sz w:val="18"/>
                <w:szCs w:val="18"/>
                <w:shd w:val="clear" w:color="auto" w:fill="FFFFFF"/>
              </w:rPr>
              <w:t>виконанням Технічних умов</w:t>
            </w:r>
          </w:p>
        </w:tc>
        <w:tc>
          <w:tcPr>
            <w:tcW w:w="1443" w:type="dxa"/>
            <w:gridSpan w:val="2"/>
          </w:tcPr>
          <w:p w:rsidR="005E2D67" w:rsidRPr="00FC47C6" w:rsidRDefault="005E2D67" w:rsidP="005E2D67">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абзац третій пункту 32 Статуту залізниць України, затвердженого ПКМУ № 457</w:t>
            </w:r>
          </w:p>
        </w:tc>
        <w:tc>
          <w:tcPr>
            <w:tcW w:w="1418" w:type="dxa"/>
          </w:tcPr>
          <w:p w:rsidR="005E2D67" w:rsidRPr="00FC47C6" w:rsidRDefault="002A65E4" w:rsidP="005E2D67">
            <w:pPr>
              <w:spacing w:after="0" w:line="240" w:lineRule="auto"/>
              <w:rPr>
                <w:rFonts w:ascii="Times New Roman" w:hAnsi="Times New Roman" w:cs="Times New Roman"/>
                <w:sz w:val="18"/>
                <w:szCs w:val="18"/>
              </w:rPr>
            </w:pPr>
            <w:r w:rsidRPr="00FC47C6">
              <w:rPr>
                <w:rFonts w:ascii="Times New Roman" w:hAnsi="Times New Roman" w:cs="Times New Roman"/>
                <w:sz w:val="18"/>
                <w:szCs w:val="18"/>
              </w:rPr>
              <w:t xml:space="preserve">дії працівників підприємств залізничного транспорту щодо </w:t>
            </w:r>
            <w:r w:rsidRPr="00FC47C6">
              <w:rPr>
                <w:rFonts w:ascii="Times New Roman" w:hAnsi="Times New Roman" w:cs="Times New Roman"/>
                <w:color w:val="000000"/>
                <w:sz w:val="18"/>
                <w:szCs w:val="18"/>
              </w:rPr>
              <w:t>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p>
        </w:tc>
        <w:tc>
          <w:tcPr>
            <w:tcW w:w="1417" w:type="dxa"/>
          </w:tcPr>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усі види діяльності</w:t>
            </w:r>
            <w:r w:rsidRPr="00FC47C6">
              <w:rPr>
                <w:rFonts w:ascii="Times New Roman" w:hAnsi="Times New Roman" w:cs="Times New Roman"/>
                <w:sz w:val="18"/>
                <w:szCs w:val="18"/>
              </w:rPr>
              <w:br/>
              <w:t xml:space="preserve"> (01 – 99)</w:t>
            </w:r>
          </w:p>
        </w:tc>
        <w:tc>
          <w:tcPr>
            <w:tcW w:w="1142" w:type="dxa"/>
            <w:gridSpan w:val="2"/>
          </w:tcPr>
          <w:p w:rsidR="005E2D67" w:rsidRPr="00FC47C6" w:rsidRDefault="005E2D67" w:rsidP="005E2D67">
            <w:pPr>
              <w:spacing w:after="0" w:line="240" w:lineRule="auto"/>
              <w:jc w:val="center"/>
              <w:rPr>
                <w:rFonts w:ascii="Times New Roman" w:hAnsi="Times New Roman"/>
                <w:sz w:val="18"/>
                <w:szCs w:val="18"/>
              </w:rPr>
            </w:pPr>
            <w:r w:rsidRPr="00FC47C6">
              <w:rPr>
                <w:rFonts w:ascii="Times New Roman" w:hAnsi="Times New Roman"/>
                <w:sz w:val="18"/>
                <w:szCs w:val="18"/>
              </w:rPr>
              <w:t>О1; О2;</w:t>
            </w:r>
          </w:p>
          <w:p w:rsidR="005E2D67" w:rsidRPr="00FC47C6" w:rsidRDefault="005E2D67" w:rsidP="005E2D67">
            <w:pPr>
              <w:spacing w:after="0" w:line="240" w:lineRule="auto"/>
              <w:jc w:val="center"/>
              <w:rPr>
                <w:rFonts w:ascii="Times New Roman" w:hAnsi="Times New Roman"/>
                <w:sz w:val="18"/>
                <w:szCs w:val="18"/>
              </w:rPr>
            </w:pPr>
            <w:r w:rsidRPr="00FC47C6">
              <w:rPr>
                <w:rFonts w:ascii="Times New Roman" w:hAnsi="Times New Roman"/>
                <w:sz w:val="18"/>
                <w:szCs w:val="18"/>
              </w:rPr>
              <w:t>О3; О4;</w:t>
            </w:r>
          </w:p>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О6</w:t>
            </w:r>
          </w:p>
        </w:tc>
        <w:tc>
          <w:tcPr>
            <w:tcW w:w="1336" w:type="dxa"/>
            <w:gridSpan w:val="2"/>
          </w:tcPr>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sz w:val="18"/>
                <w:szCs w:val="18"/>
              </w:rPr>
              <w:t xml:space="preserve">усі </w:t>
            </w:r>
            <w:r w:rsidRPr="00FC47C6">
              <w:rPr>
                <w:rFonts w:ascii="Times New Roman" w:hAnsi="Times New Roman"/>
                <w:sz w:val="18"/>
                <w:szCs w:val="18"/>
              </w:rPr>
              <w:br/>
              <w:t>небезпечні</w:t>
            </w:r>
            <w:r w:rsidRPr="00FC47C6">
              <w:rPr>
                <w:rFonts w:ascii="Times New Roman" w:hAnsi="Times New Roman"/>
                <w:sz w:val="18"/>
                <w:szCs w:val="18"/>
              </w:rPr>
              <w:br/>
              <w:t>події</w:t>
            </w:r>
          </w:p>
        </w:tc>
        <w:tc>
          <w:tcPr>
            <w:tcW w:w="1323" w:type="dxa"/>
          </w:tcPr>
          <w:p w:rsidR="005E2D67" w:rsidRPr="00FC47C6" w:rsidRDefault="005E2D67" w:rsidP="005E2D67">
            <w:pPr>
              <w:spacing w:after="0" w:line="240" w:lineRule="auto"/>
              <w:jc w:val="center"/>
              <w:rPr>
                <w:rFonts w:ascii="Times New Roman" w:hAnsi="Times New Roman"/>
                <w:sz w:val="18"/>
                <w:szCs w:val="18"/>
              </w:rPr>
            </w:pPr>
            <w:r w:rsidRPr="00FC47C6">
              <w:rPr>
                <w:rFonts w:ascii="Times New Roman" w:hAnsi="Times New Roman"/>
                <w:sz w:val="18"/>
                <w:szCs w:val="18"/>
              </w:rPr>
              <w:t>усі</w:t>
            </w:r>
          </w:p>
          <w:p w:rsidR="005E2D67" w:rsidRPr="00FC47C6" w:rsidRDefault="005E2D67" w:rsidP="005E2D67">
            <w:pPr>
              <w:spacing w:after="0" w:line="240" w:lineRule="auto"/>
              <w:jc w:val="center"/>
              <w:rPr>
                <w:rFonts w:ascii="Times New Roman" w:hAnsi="Times New Roman"/>
                <w:sz w:val="18"/>
                <w:szCs w:val="18"/>
              </w:rPr>
            </w:pPr>
            <w:r w:rsidRPr="00FC47C6">
              <w:rPr>
                <w:rFonts w:ascii="Times New Roman" w:hAnsi="Times New Roman"/>
                <w:sz w:val="18"/>
                <w:szCs w:val="18"/>
              </w:rPr>
              <w:t>негативні</w:t>
            </w:r>
          </w:p>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sz w:val="18"/>
                <w:szCs w:val="18"/>
              </w:rPr>
              <w:t>наслідки</w:t>
            </w:r>
          </w:p>
        </w:tc>
        <w:tc>
          <w:tcPr>
            <w:tcW w:w="1051" w:type="dxa"/>
            <w:gridSpan w:val="2"/>
          </w:tcPr>
          <w:p w:rsidR="005E2D67" w:rsidRPr="00FC47C6" w:rsidRDefault="005E2D67" w:rsidP="005E2D67">
            <w:pPr>
              <w:spacing w:after="0" w:line="240" w:lineRule="auto"/>
              <w:jc w:val="center"/>
              <w:rPr>
                <w:rFonts w:ascii="Times New Roman" w:hAnsi="Times New Roman" w:cs="Times New Roman"/>
                <w:sz w:val="18"/>
                <w:szCs w:val="18"/>
              </w:rPr>
            </w:pPr>
            <w:r w:rsidRPr="00FC47C6">
              <w:rPr>
                <w:rFonts w:ascii="Times New Roman" w:hAnsi="Times New Roman"/>
                <w:sz w:val="18"/>
                <w:szCs w:val="18"/>
              </w:rPr>
              <w:t>3</w:t>
            </w:r>
          </w:p>
        </w:tc>
        <w:tc>
          <w:tcPr>
            <w:tcW w:w="2250" w:type="dxa"/>
            <w:gridSpan w:val="2"/>
          </w:tcPr>
          <w:p w:rsidR="005E2D67" w:rsidRPr="00FC47C6" w:rsidRDefault="005E2D67" w:rsidP="005E2D67">
            <w:pPr>
              <w:spacing w:after="0" w:line="240" w:lineRule="auto"/>
              <w:jc w:val="both"/>
              <w:rPr>
                <w:rFonts w:ascii="Times New Roman" w:hAnsi="Times New Roman" w:cs="Times New Roman"/>
                <w:color w:val="292B2C"/>
                <w:sz w:val="18"/>
                <w:szCs w:val="18"/>
              </w:rPr>
            </w:pPr>
            <w:r w:rsidRPr="00FC47C6">
              <w:rPr>
                <w:rFonts w:ascii="Times New Roman" w:hAnsi="Times New Roman" w:cs="Times New Roman"/>
                <w:sz w:val="18"/>
                <w:szCs w:val="18"/>
              </w:rPr>
              <w:t xml:space="preserve">інші </w:t>
            </w:r>
            <w:r w:rsidRPr="00FC47C6">
              <w:rPr>
                <w:rFonts w:ascii="Times New Roman" w:hAnsi="Times New Roman" w:cs="Times New Roman"/>
                <w:color w:val="000000"/>
                <w:sz w:val="18"/>
                <w:szCs w:val="18"/>
              </w:rPr>
              <w:t>обов’язкові для дотримання всіма учасниками перевезення вимоги щодо розміщення, закріплення вантажів, способу навантаження, розвантаження вагонів, забезпечення безпеки руху, збереження залізничного рухомого складу та вантажів</w:t>
            </w:r>
            <w:r w:rsidRPr="00FC47C6">
              <w:rPr>
                <w:rFonts w:ascii="Times New Roman" w:hAnsi="Times New Roman" w:cs="Times New Roman"/>
                <w:sz w:val="18"/>
                <w:szCs w:val="18"/>
              </w:rPr>
              <w:t>, виконуються</w:t>
            </w:r>
          </w:p>
        </w:tc>
        <w:tc>
          <w:tcPr>
            <w:tcW w:w="391" w:type="dxa"/>
          </w:tcPr>
          <w:p w:rsidR="005E2D67" w:rsidRPr="00FC47C6" w:rsidRDefault="005E2D67" w:rsidP="005E2D67">
            <w:pPr>
              <w:spacing w:after="0" w:line="240" w:lineRule="auto"/>
              <w:jc w:val="both"/>
              <w:rPr>
                <w:rFonts w:ascii="Times New Roman" w:hAnsi="Times New Roman" w:cs="Times New Roman"/>
                <w:sz w:val="18"/>
                <w:szCs w:val="18"/>
              </w:rPr>
            </w:pPr>
          </w:p>
        </w:tc>
      </w:tr>
    </w:tbl>
    <w:p w:rsidR="00541D03" w:rsidRPr="00FC47C6" w:rsidRDefault="00541D03" w:rsidP="00D8061D"/>
    <w:p w:rsidR="002A65E4" w:rsidRPr="00FC47C6" w:rsidRDefault="002A65E4"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33"/>
        <w:gridCol w:w="10384"/>
      </w:tblGrid>
      <w:tr w:rsidR="00EB576D" w:rsidRPr="00FC47C6" w:rsidTr="00EB576D">
        <w:trPr>
          <w:trHeight w:val="375"/>
        </w:trPr>
        <w:tc>
          <w:tcPr>
            <w:tcW w:w="568" w:type="dxa"/>
          </w:tcPr>
          <w:p w:rsidR="00EB576D" w:rsidRPr="00FC47C6" w:rsidRDefault="00EB576D" w:rsidP="00B66991">
            <w:pPr>
              <w:spacing w:after="0" w:line="240" w:lineRule="auto"/>
              <w:ind w:left="51"/>
              <w:jc w:val="center"/>
              <w:rPr>
                <w:rFonts w:ascii="Times New Roman" w:hAnsi="Times New Roman" w:cs="Times New Roman"/>
                <w:sz w:val="18"/>
                <w:szCs w:val="18"/>
              </w:rPr>
            </w:pPr>
          </w:p>
          <w:p w:rsidR="00EB576D" w:rsidRPr="00FC47C6" w:rsidRDefault="00EB576D" w:rsidP="00B66991">
            <w:pPr>
              <w:spacing w:after="0" w:line="240" w:lineRule="auto"/>
              <w:ind w:left="51"/>
              <w:jc w:val="center"/>
              <w:rPr>
                <w:rFonts w:ascii="Times New Roman" w:hAnsi="Times New Roman" w:cs="Times New Roman"/>
                <w:sz w:val="18"/>
                <w:szCs w:val="18"/>
              </w:rPr>
            </w:pPr>
          </w:p>
        </w:tc>
        <w:tc>
          <w:tcPr>
            <w:tcW w:w="3933" w:type="dxa"/>
          </w:tcPr>
          <w:p w:rsidR="00EB576D" w:rsidRPr="00FC47C6" w:rsidRDefault="00EB576D" w:rsidP="00B66991">
            <w:pPr>
              <w:spacing w:after="0" w:line="240" w:lineRule="auto"/>
              <w:jc w:val="center"/>
              <w:rPr>
                <w:rFonts w:ascii="Times New Roman" w:hAnsi="Times New Roman" w:cs="Times New Roman"/>
                <w:sz w:val="18"/>
                <w:szCs w:val="18"/>
              </w:rPr>
            </w:pPr>
          </w:p>
          <w:p w:rsidR="00EB576D" w:rsidRPr="00FC47C6" w:rsidRDefault="00EB576D" w:rsidP="00B66991">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Термін, скорочене найменування</w:t>
            </w:r>
          </w:p>
          <w:p w:rsidR="00EB576D" w:rsidRPr="00FC47C6" w:rsidRDefault="00EB576D" w:rsidP="00B66991">
            <w:pPr>
              <w:spacing w:after="0" w:line="240" w:lineRule="auto"/>
              <w:rPr>
                <w:rFonts w:ascii="Times New Roman" w:hAnsi="Times New Roman" w:cs="Times New Roman"/>
                <w:sz w:val="18"/>
                <w:szCs w:val="18"/>
              </w:rPr>
            </w:pPr>
          </w:p>
        </w:tc>
        <w:tc>
          <w:tcPr>
            <w:tcW w:w="10384" w:type="dxa"/>
          </w:tcPr>
          <w:p w:rsidR="0098421E" w:rsidRPr="00FC47C6" w:rsidRDefault="0098421E" w:rsidP="00B66991">
            <w:pPr>
              <w:spacing w:after="0" w:line="240" w:lineRule="auto"/>
              <w:jc w:val="center"/>
              <w:rPr>
                <w:rFonts w:ascii="Times New Roman" w:hAnsi="Times New Roman" w:cs="Times New Roman"/>
                <w:sz w:val="18"/>
                <w:szCs w:val="18"/>
              </w:rPr>
            </w:pPr>
          </w:p>
          <w:p w:rsidR="00EB576D" w:rsidRPr="00FC47C6" w:rsidRDefault="00EB576D" w:rsidP="00B66991">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Визначення терміну, повне найменування</w:t>
            </w:r>
          </w:p>
        </w:tc>
      </w:tr>
      <w:tr w:rsidR="0098421E" w:rsidRPr="00FC47C6" w:rsidTr="00EB576D">
        <w:trPr>
          <w:trHeight w:val="257"/>
        </w:trPr>
        <w:tc>
          <w:tcPr>
            <w:tcW w:w="568" w:type="dxa"/>
          </w:tcPr>
          <w:p w:rsidR="0098421E" w:rsidRPr="00FC47C6" w:rsidRDefault="005E2D67" w:rsidP="0098421E">
            <w:pPr>
              <w:spacing w:after="0" w:line="240" w:lineRule="auto"/>
              <w:ind w:left="51"/>
              <w:jc w:val="center"/>
              <w:rPr>
                <w:rFonts w:ascii="Times New Roman" w:hAnsi="Times New Roman" w:cs="Times New Roman"/>
                <w:sz w:val="18"/>
                <w:szCs w:val="18"/>
              </w:rPr>
            </w:pPr>
            <w:r w:rsidRPr="00FC47C6">
              <w:rPr>
                <w:rFonts w:ascii="Times New Roman" w:hAnsi="Times New Roman" w:cs="Times New Roman"/>
                <w:sz w:val="18"/>
                <w:szCs w:val="18"/>
              </w:rPr>
              <w:t>1</w:t>
            </w:r>
          </w:p>
        </w:tc>
        <w:tc>
          <w:tcPr>
            <w:tcW w:w="3933" w:type="dxa"/>
          </w:tcPr>
          <w:p w:rsidR="0098421E" w:rsidRPr="00FC47C6" w:rsidRDefault="0098421E" w:rsidP="0098421E">
            <w:pPr>
              <w:spacing w:after="0" w:line="240" w:lineRule="auto"/>
              <w:jc w:val="center"/>
              <w:rPr>
                <w:rFonts w:ascii="Times New Roman" w:hAnsi="Times New Roman" w:cs="Times New Roman"/>
                <w:sz w:val="18"/>
                <w:szCs w:val="18"/>
              </w:rPr>
            </w:pPr>
            <w:r w:rsidRPr="00FC47C6">
              <w:rPr>
                <w:rFonts w:ascii="Times New Roman" w:hAnsi="Times New Roman" w:cs="Times New Roman"/>
                <w:sz w:val="18"/>
                <w:szCs w:val="18"/>
              </w:rPr>
              <w:t>ПКМУ № 457</w:t>
            </w:r>
          </w:p>
        </w:tc>
        <w:tc>
          <w:tcPr>
            <w:tcW w:w="10384" w:type="dxa"/>
          </w:tcPr>
          <w:p w:rsidR="0098421E" w:rsidRPr="00FC47C6" w:rsidRDefault="0098421E" w:rsidP="0098421E">
            <w:pPr>
              <w:ind w:right="-113"/>
              <w:rPr>
                <w:rFonts w:ascii="Times New Roman" w:hAnsi="Times New Roman" w:cs="Times New Roman"/>
                <w:sz w:val="18"/>
                <w:szCs w:val="18"/>
              </w:rPr>
            </w:pPr>
            <w:r w:rsidRPr="00FC47C6">
              <w:rPr>
                <w:rFonts w:ascii="Times New Roman" w:hAnsi="Times New Roman" w:cs="Times New Roman"/>
                <w:sz w:val="18"/>
                <w:szCs w:val="18"/>
              </w:rPr>
              <w:t>Статут залізниць України, затверджений постановою Кабінету Міністрів України від 06.04.1998 № 457</w:t>
            </w:r>
          </w:p>
        </w:tc>
      </w:tr>
      <w:tr w:rsidR="0098421E" w:rsidRPr="00FC47C6" w:rsidTr="00EB576D">
        <w:trPr>
          <w:trHeight w:val="257"/>
        </w:trPr>
        <w:tc>
          <w:tcPr>
            <w:tcW w:w="568" w:type="dxa"/>
          </w:tcPr>
          <w:p w:rsidR="0098421E" w:rsidRPr="00FC47C6" w:rsidRDefault="0098421E" w:rsidP="0098421E">
            <w:pPr>
              <w:spacing w:after="0" w:line="240" w:lineRule="auto"/>
              <w:ind w:left="51"/>
              <w:jc w:val="center"/>
              <w:rPr>
                <w:rFonts w:ascii="Times New Roman" w:hAnsi="Times New Roman" w:cs="Times New Roman"/>
                <w:sz w:val="18"/>
                <w:szCs w:val="18"/>
              </w:rPr>
            </w:pPr>
          </w:p>
        </w:tc>
        <w:tc>
          <w:tcPr>
            <w:tcW w:w="3933" w:type="dxa"/>
          </w:tcPr>
          <w:p w:rsidR="0098421E" w:rsidRPr="00FC47C6" w:rsidRDefault="0098421E" w:rsidP="0098421E">
            <w:pPr>
              <w:spacing w:after="0" w:line="240" w:lineRule="auto"/>
              <w:jc w:val="center"/>
              <w:rPr>
                <w:rFonts w:ascii="Times New Roman" w:hAnsi="Times New Roman" w:cs="Times New Roman"/>
                <w:sz w:val="18"/>
                <w:szCs w:val="18"/>
              </w:rPr>
            </w:pPr>
          </w:p>
        </w:tc>
        <w:tc>
          <w:tcPr>
            <w:tcW w:w="10384" w:type="dxa"/>
          </w:tcPr>
          <w:p w:rsidR="0098421E" w:rsidRPr="00FC47C6" w:rsidRDefault="0098421E" w:rsidP="0098421E">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p>
        </w:tc>
      </w:tr>
    </w:tbl>
    <w:p w:rsidR="003B3505" w:rsidRPr="00FC47C6" w:rsidRDefault="00927166" w:rsidP="00927166">
      <w:pPr>
        <w:jc w:val="center"/>
        <w:rPr>
          <w:rFonts w:ascii="Times New Roman" w:hAnsi="Times New Roman" w:cs="Times New Roman"/>
        </w:rPr>
      </w:pPr>
      <w:r w:rsidRPr="00FC47C6">
        <w:rPr>
          <w:rFonts w:ascii="Times New Roman" w:hAnsi="Times New Roman" w:cs="Times New Roman"/>
        </w:rPr>
        <w:t>__________________________________________________</w:t>
      </w:r>
      <w:bookmarkStart w:id="1" w:name="_GoBack"/>
      <w:bookmarkEnd w:id="1"/>
    </w:p>
    <w:sectPr w:rsidR="003B3505" w:rsidRPr="00FC47C6" w:rsidSect="00E971FE">
      <w:headerReference w:type="default" r:id="rId7"/>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28" w:rsidRDefault="00B87928" w:rsidP="00E971FE">
      <w:pPr>
        <w:spacing w:after="0" w:line="240" w:lineRule="auto"/>
      </w:pPr>
      <w:r>
        <w:separator/>
      </w:r>
    </w:p>
  </w:endnote>
  <w:endnote w:type="continuationSeparator" w:id="0">
    <w:p w:rsidR="00B87928" w:rsidRDefault="00B87928"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28" w:rsidRDefault="00B87928" w:rsidP="00E971FE">
      <w:pPr>
        <w:spacing w:after="0" w:line="240" w:lineRule="auto"/>
      </w:pPr>
      <w:r>
        <w:separator/>
      </w:r>
    </w:p>
  </w:footnote>
  <w:footnote w:type="continuationSeparator" w:id="0">
    <w:p w:rsidR="00B87928" w:rsidRDefault="00B87928"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336166" w:rsidRDefault="00336166">
        <w:pPr>
          <w:pStyle w:val="a3"/>
          <w:jc w:val="center"/>
        </w:pPr>
        <w:r>
          <w:fldChar w:fldCharType="begin"/>
        </w:r>
        <w:r>
          <w:instrText>PAGE   \* MERGEFORMAT</w:instrText>
        </w:r>
        <w:r>
          <w:fldChar w:fldCharType="separate"/>
        </w:r>
        <w:r w:rsidR="00FC47C6" w:rsidRPr="00FC47C6">
          <w:rPr>
            <w:noProof/>
            <w:lang w:val="ru-RU"/>
          </w:rPr>
          <w:t>8</w:t>
        </w:r>
        <w:r>
          <w:fldChar w:fldCharType="end"/>
        </w:r>
      </w:p>
    </w:sdtContent>
  </w:sdt>
  <w:p w:rsidR="00336166" w:rsidRDefault="003361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008C0"/>
    <w:rsid w:val="00001A9B"/>
    <w:rsid w:val="00003183"/>
    <w:rsid w:val="00003777"/>
    <w:rsid w:val="000115D1"/>
    <w:rsid w:val="00024DB6"/>
    <w:rsid w:val="00024EA7"/>
    <w:rsid w:val="0003020A"/>
    <w:rsid w:val="00033D8E"/>
    <w:rsid w:val="0005061C"/>
    <w:rsid w:val="0006449E"/>
    <w:rsid w:val="000652B8"/>
    <w:rsid w:val="0007316C"/>
    <w:rsid w:val="000735DF"/>
    <w:rsid w:val="00074716"/>
    <w:rsid w:val="0007701D"/>
    <w:rsid w:val="0007787C"/>
    <w:rsid w:val="000A622A"/>
    <w:rsid w:val="000C32D2"/>
    <w:rsid w:val="000E1AAC"/>
    <w:rsid w:val="000E4C15"/>
    <w:rsid w:val="000E52BB"/>
    <w:rsid w:val="000E6260"/>
    <w:rsid w:val="000F13AE"/>
    <w:rsid w:val="000F2A06"/>
    <w:rsid w:val="000F3ACD"/>
    <w:rsid w:val="001057DC"/>
    <w:rsid w:val="00124DA2"/>
    <w:rsid w:val="001413F0"/>
    <w:rsid w:val="001532D1"/>
    <w:rsid w:val="0015330A"/>
    <w:rsid w:val="001555B3"/>
    <w:rsid w:val="00161A53"/>
    <w:rsid w:val="00170EC0"/>
    <w:rsid w:val="001831E4"/>
    <w:rsid w:val="001909AC"/>
    <w:rsid w:val="00196A86"/>
    <w:rsid w:val="001B2ABE"/>
    <w:rsid w:val="001B4D6F"/>
    <w:rsid w:val="001E2DBE"/>
    <w:rsid w:val="001E4248"/>
    <w:rsid w:val="001E60F9"/>
    <w:rsid w:val="00241E84"/>
    <w:rsid w:val="00262A54"/>
    <w:rsid w:val="00265A2C"/>
    <w:rsid w:val="0027660D"/>
    <w:rsid w:val="002774DF"/>
    <w:rsid w:val="002A5261"/>
    <w:rsid w:val="002A65E4"/>
    <w:rsid w:val="002B67B7"/>
    <w:rsid w:val="002C4B7E"/>
    <w:rsid w:val="002C6278"/>
    <w:rsid w:val="002E52D5"/>
    <w:rsid w:val="002F2C34"/>
    <w:rsid w:val="002F4825"/>
    <w:rsid w:val="00306B66"/>
    <w:rsid w:val="003107E1"/>
    <w:rsid w:val="00332404"/>
    <w:rsid w:val="00336166"/>
    <w:rsid w:val="00336ACD"/>
    <w:rsid w:val="00360D36"/>
    <w:rsid w:val="003771ED"/>
    <w:rsid w:val="00391BD7"/>
    <w:rsid w:val="003B3505"/>
    <w:rsid w:val="003C5B3B"/>
    <w:rsid w:val="003C7046"/>
    <w:rsid w:val="003F6CAE"/>
    <w:rsid w:val="003F7D83"/>
    <w:rsid w:val="0041461E"/>
    <w:rsid w:val="00432E5E"/>
    <w:rsid w:val="00437452"/>
    <w:rsid w:val="00440147"/>
    <w:rsid w:val="0045069A"/>
    <w:rsid w:val="00464944"/>
    <w:rsid w:val="00465142"/>
    <w:rsid w:val="00476357"/>
    <w:rsid w:val="00481552"/>
    <w:rsid w:val="00483807"/>
    <w:rsid w:val="00495E79"/>
    <w:rsid w:val="004B1B28"/>
    <w:rsid w:val="004C2B77"/>
    <w:rsid w:val="004C60B9"/>
    <w:rsid w:val="004F339E"/>
    <w:rsid w:val="004F5314"/>
    <w:rsid w:val="005319BA"/>
    <w:rsid w:val="005357D8"/>
    <w:rsid w:val="00536031"/>
    <w:rsid w:val="00541D03"/>
    <w:rsid w:val="0055071E"/>
    <w:rsid w:val="00553015"/>
    <w:rsid w:val="00562BED"/>
    <w:rsid w:val="00562C9F"/>
    <w:rsid w:val="00572742"/>
    <w:rsid w:val="00574D34"/>
    <w:rsid w:val="005757F5"/>
    <w:rsid w:val="00577F9A"/>
    <w:rsid w:val="00581768"/>
    <w:rsid w:val="00584DC7"/>
    <w:rsid w:val="00596CBF"/>
    <w:rsid w:val="00596E80"/>
    <w:rsid w:val="005A2029"/>
    <w:rsid w:val="005A41D3"/>
    <w:rsid w:val="005B103D"/>
    <w:rsid w:val="005B6FB8"/>
    <w:rsid w:val="005C15BA"/>
    <w:rsid w:val="005D34AD"/>
    <w:rsid w:val="005E2D67"/>
    <w:rsid w:val="005E4C08"/>
    <w:rsid w:val="0063274A"/>
    <w:rsid w:val="006423EB"/>
    <w:rsid w:val="00651A82"/>
    <w:rsid w:val="00651F7D"/>
    <w:rsid w:val="00671BD5"/>
    <w:rsid w:val="00672F25"/>
    <w:rsid w:val="00673700"/>
    <w:rsid w:val="00682757"/>
    <w:rsid w:val="00687ECC"/>
    <w:rsid w:val="0069501F"/>
    <w:rsid w:val="006D6F0E"/>
    <w:rsid w:val="006F3339"/>
    <w:rsid w:val="00737BBC"/>
    <w:rsid w:val="00745E3A"/>
    <w:rsid w:val="00753DAE"/>
    <w:rsid w:val="00765CB0"/>
    <w:rsid w:val="00771C92"/>
    <w:rsid w:val="007A6190"/>
    <w:rsid w:val="007B4806"/>
    <w:rsid w:val="007C3C26"/>
    <w:rsid w:val="007C43D4"/>
    <w:rsid w:val="007D339D"/>
    <w:rsid w:val="007D4CC9"/>
    <w:rsid w:val="00801242"/>
    <w:rsid w:val="008036BA"/>
    <w:rsid w:val="00806587"/>
    <w:rsid w:val="00860923"/>
    <w:rsid w:val="00873310"/>
    <w:rsid w:val="00881F76"/>
    <w:rsid w:val="00882D68"/>
    <w:rsid w:val="00887EB1"/>
    <w:rsid w:val="0089228E"/>
    <w:rsid w:val="008B1545"/>
    <w:rsid w:val="008B7270"/>
    <w:rsid w:val="008C03F0"/>
    <w:rsid w:val="008C15CC"/>
    <w:rsid w:val="008C3BC8"/>
    <w:rsid w:val="008C7D29"/>
    <w:rsid w:val="008F0F3F"/>
    <w:rsid w:val="009033CD"/>
    <w:rsid w:val="00915555"/>
    <w:rsid w:val="00920D88"/>
    <w:rsid w:val="00924E5D"/>
    <w:rsid w:val="00927166"/>
    <w:rsid w:val="00932F47"/>
    <w:rsid w:val="00933F63"/>
    <w:rsid w:val="00937D4A"/>
    <w:rsid w:val="00942078"/>
    <w:rsid w:val="00962EAA"/>
    <w:rsid w:val="009648F6"/>
    <w:rsid w:val="00983613"/>
    <w:rsid w:val="0098421E"/>
    <w:rsid w:val="00990257"/>
    <w:rsid w:val="00992718"/>
    <w:rsid w:val="0099702F"/>
    <w:rsid w:val="009A623B"/>
    <w:rsid w:val="009B637A"/>
    <w:rsid w:val="009C2C99"/>
    <w:rsid w:val="009C504C"/>
    <w:rsid w:val="009D11B4"/>
    <w:rsid w:val="009D22E1"/>
    <w:rsid w:val="009E0630"/>
    <w:rsid w:val="00A0190F"/>
    <w:rsid w:val="00A14EB8"/>
    <w:rsid w:val="00A23BC3"/>
    <w:rsid w:val="00A43BBF"/>
    <w:rsid w:val="00A44B70"/>
    <w:rsid w:val="00A50247"/>
    <w:rsid w:val="00A540F4"/>
    <w:rsid w:val="00A676A3"/>
    <w:rsid w:val="00A74800"/>
    <w:rsid w:val="00AA165D"/>
    <w:rsid w:val="00AD2934"/>
    <w:rsid w:val="00AD35DB"/>
    <w:rsid w:val="00AF34C7"/>
    <w:rsid w:val="00AF4BAB"/>
    <w:rsid w:val="00AF6FDA"/>
    <w:rsid w:val="00B10A32"/>
    <w:rsid w:val="00B14F13"/>
    <w:rsid w:val="00B210B1"/>
    <w:rsid w:val="00B22D14"/>
    <w:rsid w:val="00B52E63"/>
    <w:rsid w:val="00B641B3"/>
    <w:rsid w:val="00B66991"/>
    <w:rsid w:val="00B67F95"/>
    <w:rsid w:val="00B87928"/>
    <w:rsid w:val="00BB1838"/>
    <w:rsid w:val="00BC1043"/>
    <w:rsid w:val="00BC6378"/>
    <w:rsid w:val="00BD4140"/>
    <w:rsid w:val="00C061A6"/>
    <w:rsid w:val="00C329AC"/>
    <w:rsid w:val="00C64657"/>
    <w:rsid w:val="00C6668D"/>
    <w:rsid w:val="00C7205C"/>
    <w:rsid w:val="00CA1B30"/>
    <w:rsid w:val="00CB75AA"/>
    <w:rsid w:val="00CC2847"/>
    <w:rsid w:val="00CD6EFD"/>
    <w:rsid w:val="00CE2E0F"/>
    <w:rsid w:val="00D14421"/>
    <w:rsid w:val="00D16EF0"/>
    <w:rsid w:val="00D2715B"/>
    <w:rsid w:val="00D4603E"/>
    <w:rsid w:val="00D64A32"/>
    <w:rsid w:val="00D71F4B"/>
    <w:rsid w:val="00D8061D"/>
    <w:rsid w:val="00D8636B"/>
    <w:rsid w:val="00DA0C8C"/>
    <w:rsid w:val="00DA213D"/>
    <w:rsid w:val="00DB5B13"/>
    <w:rsid w:val="00DC1A7C"/>
    <w:rsid w:val="00DC4994"/>
    <w:rsid w:val="00DD0625"/>
    <w:rsid w:val="00DF6482"/>
    <w:rsid w:val="00E14F56"/>
    <w:rsid w:val="00E16B36"/>
    <w:rsid w:val="00E30247"/>
    <w:rsid w:val="00E32383"/>
    <w:rsid w:val="00E32B30"/>
    <w:rsid w:val="00E4262B"/>
    <w:rsid w:val="00E56ECA"/>
    <w:rsid w:val="00E61143"/>
    <w:rsid w:val="00E61AE2"/>
    <w:rsid w:val="00E62043"/>
    <w:rsid w:val="00E703A1"/>
    <w:rsid w:val="00E85C46"/>
    <w:rsid w:val="00E94CFC"/>
    <w:rsid w:val="00E971FE"/>
    <w:rsid w:val="00EA59DB"/>
    <w:rsid w:val="00EB2D70"/>
    <w:rsid w:val="00EB576D"/>
    <w:rsid w:val="00EC14B6"/>
    <w:rsid w:val="00EC5514"/>
    <w:rsid w:val="00ED7624"/>
    <w:rsid w:val="00EF607C"/>
    <w:rsid w:val="00F024E7"/>
    <w:rsid w:val="00F034EB"/>
    <w:rsid w:val="00F06D4B"/>
    <w:rsid w:val="00F0781B"/>
    <w:rsid w:val="00F2389E"/>
    <w:rsid w:val="00F2532A"/>
    <w:rsid w:val="00F37F94"/>
    <w:rsid w:val="00F633FF"/>
    <w:rsid w:val="00F6426A"/>
    <w:rsid w:val="00F74E86"/>
    <w:rsid w:val="00F81174"/>
    <w:rsid w:val="00F90245"/>
    <w:rsid w:val="00F93ED9"/>
    <w:rsid w:val="00F9417F"/>
    <w:rsid w:val="00FB7CD7"/>
    <w:rsid w:val="00FC47C6"/>
    <w:rsid w:val="00FC7AEA"/>
    <w:rsid w:val="00FD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paragraph" w:styleId="5">
    <w:name w:val="heading 5"/>
    <w:basedOn w:val="a"/>
    <w:next w:val="a"/>
    <w:link w:val="50"/>
    <w:qFormat/>
    <w:rsid w:val="0007787C"/>
    <w:pPr>
      <w:keepNext/>
      <w:spacing w:after="0" w:line="240" w:lineRule="auto"/>
      <w:jc w:val="center"/>
      <w:outlineLvl w:val="4"/>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customStyle="1" w:styleId="rvps2">
    <w:name w:val="rvps2"/>
    <w:basedOn w:val="a"/>
    <w:rsid w:val="005A41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DD0625"/>
    <w:rPr>
      <w:color w:val="0000FF"/>
      <w:u w:val="single"/>
    </w:rPr>
  </w:style>
  <w:style w:type="character" w:customStyle="1" w:styleId="rvts80">
    <w:name w:val="rvts80"/>
    <w:basedOn w:val="a0"/>
    <w:rsid w:val="00920D88"/>
  </w:style>
  <w:style w:type="character" w:styleId="a8">
    <w:name w:val="Strong"/>
    <w:qFormat/>
    <w:rsid w:val="00EB576D"/>
    <w:rPr>
      <w:b/>
      <w:bCs/>
    </w:rPr>
  </w:style>
  <w:style w:type="paragraph" w:styleId="a9">
    <w:name w:val="Normal (Web)"/>
    <w:basedOn w:val="a"/>
    <w:unhideWhenUsed/>
    <w:rsid w:val="00EB57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rsid w:val="0007787C"/>
    <w:rPr>
      <w:rFonts w:ascii="Times New Roman" w:eastAsia="Times New Roman" w:hAnsi="Times New Roman" w:cs="Times New Roman"/>
      <w:sz w:val="28"/>
      <w:szCs w:val="24"/>
      <w:lang w:val="x-none" w:eastAsia="ru-RU"/>
    </w:rPr>
  </w:style>
  <w:style w:type="character" w:customStyle="1" w:styleId="rvts23">
    <w:name w:val="rvts23"/>
    <w:basedOn w:val="a0"/>
    <w:rsid w:val="0007787C"/>
  </w:style>
  <w:style w:type="character" w:customStyle="1" w:styleId="apple-converted-space">
    <w:name w:val="apple-converted-space"/>
    <w:rsid w:val="0088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127">
      <w:bodyDiv w:val="1"/>
      <w:marLeft w:val="0"/>
      <w:marRight w:val="0"/>
      <w:marTop w:val="0"/>
      <w:marBottom w:val="0"/>
      <w:divBdr>
        <w:top w:val="none" w:sz="0" w:space="0" w:color="auto"/>
        <w:left w:val="none" w:sz="0" w:space="0" w:color="auto"/>
        <w:bottom w:val="none" w:sz="0" w:space="0" w:color="auto"/>
        <w:right w:val="none" w:sz="0" w:space="0" w:color="auto"/>
      </w:divBdr>
    </w:div>
    <w:div w:id="19207672">
      <w:bodyDiv w:val="1"/>
      <w:marLeft w:val="0"/>
      <w:marRight w:val="0"/>
      <w:marTop w:val="0"/>
      <w:marBottom w:val="0"/>
      <w:divBdr>
        <w:top w:val="none" w:sz="0" w:space="0" w:color="auto"/>
        <w:left w:val="none" w:sz="0" w:space="0" w:color="auto"/>
        <w:bottom w:val="none" w:sz="0" w:space="0" w:color="auto"/>
        <w:right w:val="none" w:sz="0" w:space="0" w:color="auto"/>
      </w:divBdr>
    </w:div>
    <w:div w:id="33115932">
      <w:bodyDiv w:val="1"/>
      <w:marLeft w:val="0"/>
      <w:marRight w:val="0"/>
      <w:marTop w:val="0"/>
      <w:marBottom w:val="0"/>
      <w:divBdr>
        <w:top w:val="none" w:sz="0" w:space="0" w:color="auto"/>
        <w:left w:val="none" w:sz="0" w:space="0" w:color="auto"/>
        <w:bottom w:val="none" w:sz="0" w:space="0" w:color="auto"/>
        <w:right w:val="none" w:sz="0" w:space="0" w:color="auto"/>
      </w:divBdr>
    </w:div>
    <w:div w:id="44065633">
      <w:bodyDiv w:val="1"/>
      <w:marLeft w:val="0"/>
      <w:marRight w:val="0"/>
      <w:marTop w:val="0"/>
      <w:marBottom w:val="0"/>
      <w:divBdr>
        <w:top w:val="none" w:sz="0" w:space="0" w:color="auto"/>
        <w:left w:val="none" w:sz="0" w:space="0" w:color="auto"/>
        <w:bottom w:val="none" w:sz="0" w:space="0" w:color="auto"/>
        <w:right w:val="none" w:sz="0" w:space="0" w:color="auto"/>
      </w:divBdr>
    </w:div>
    <w:div w:id="248348335">
      <w:bodyDiv w:val="1"/>
      <w:marLeft w:val="0"/>
      <w:marRight w:val="0"/>
      <w:marTop w:val="0"/>
      <w:marBottom w:val="0"/>
      <w:divBdr>
        <w:top w:val="none" w:sz="0" w:space="0" w:color="auto"/>
        <w:left w:val="none" w:sz="0" w:space="0" w:color="auto"/>
        <w:bottom w:val="none" w:sz="0" w:space="0" w:color="auto"/>
        <w:right w:val="none" w:sz="0" w:space="0" w:color="auto"/>
      </w:divBdr>
    </w:div>
    <w:div w:id="536620353">
      <w:bodyDiv w:val="1"/>
      <w:marLeft w:val="0"/>
      <w:marRight w:val="0"/>
      <w:marTop w:val="0"/>
      <w:marBottom w:val="0"/>
      <w:divBdr>
        <w:top w:val="none" w:sz="0" w:space="0" w:color="auto"/>
        <w:left w:val="none" w:sz="0" w:space="0" w:color="auto"/>
        <w:bottom w:val="none" w:sz="0" w:space="0" w:color="auto"/>
        <w:right w:val="none" w:sz="0" w:space="0" w:color="auto"/>
      </w:divBdr>
    </w:div>
    <w:div w:id="664355620">
      <w:bodyDiv w:val="1"/>
      <w:marLeft w:val="0"/>
      <w:marRight w:val="0"/>
      <w:marTop w:val="0"/>
      <w:marBottom w:val="0"/>
      <w:divBdr>
        <w:top w:val="none" w:sz="0" w:space="0" w:color="auto"/>
        <w:left w:val="none" w:sz="0" w:space="0" w:color="auto"/>
        <w:bottom w:val="none" w:sz="0" w:space="0" w:color="auto"/>
        <w:right w:val="none" w:sz="0" w:space="0" w:color="auto"/>
      </w:divBdr>
    </w:div>
    <w:div w:id="672300185">
      <w:bodyDiv w:val="1"/>
      <w:marLeft w:val="0"/>
      <w:marRight w:val="0"/>
      <w:marTop w:val="0"/>
      <w:marBottom w:val="0"/>
      <w:divBdr>
        <w:top w:val="none" w:sz="0" w:space="0" w:color="auto"/>
        <w:left w:val="none" w:sz="0" w:space="0" w:color="auto"/>
        <w:bottom w:val="none" w:sz="0" w:space="0" w:color="auto"/>
        <w:right w:val="none" w:sz="0" w:space="0" w:color="auto"/>
      </w:divBdr>
    </w:div>
    <w:div w:id="801919893">
      <w:bodyDiv w:val="1"/>
      <w:marLeft w:val="0"/>
      <w:marRight w:val="0"/>
      <w:marTop w:val="0"/>
      <w:marBottom w:val="0"/>
      <w:divBdr>
        <w:top w:val="none" w:sz="0" w:space="0" w:color="auto"/>
        <w:left w:val="none" w:sz="0" w:space="0" w:color="auto"/>
        <w:bottom w:val="none" w:sz="0" w:space="0" w:color="auto"/>
        <w:right w:val="none" w:sz="0" w:space="0" w:color="auto"/>
      </w:divBdr>
    </w:div>
    <w:div w:id="910772760">
      <w:bodyDiv w:val="1"/>
      <w:marLeft w:val="0"/>
      <w:marRight w:val="0"/>
      <w:marTop w:val="0"/>
      <w:marBottom w:val="0"/>
      <w:divBdr>
        <w:top w:val="none" w:sz="0" w:space="0" w:color="auto"/>
        <w:left w:val="none" w:sz="0" w:space="0" w:color="auto"/>
        <w:bottom w:val="none" w:sz="0" w:space="0" w:color="auto"/>
        <w:right w:val="none" w:sz="0" w:space="0" w:color="auto"/>
      </w:divBdr>
    </w:div>
    <w:div w:id="1117673391">
      <w:bodyDiv w:val="1"/>
      <w:marLeft w:val="0"/>
      <w:marRight w:val="0"/>
      <w:marTop w:val="0"/>
      <w:marBottom w:val="0"/>
      <w:divBdr>
        <w:top w:val="none" w:sz="0" w:space="0" w:color="auto"/>
        <w:left w:val="none" w:sz="0" w:space="0" w:color="auto"/>
        <w:bottom w:val="none" w:sz="0" w:space="0" w:color="auto"/>
        <w:right w:val="none" w:sz="0" w:space="0" w:color="auto"/>
      </w:divBdr>
    </w:div>
    <w:div w:id="1131291951">
      <w:bodyDiv w:val="1"/>
      <w:marLeft w:val="0"/>
      <w:marRight w:val="0"/>
      <w:marTop w:val="0"/>
      <w:marBottom w:val="0"/>
      <w:divBdr>
        <w:top w:val="none" w:sz="0" w:space="0" w:color="auto"/>
        <w:left w:val="none" w:sz="0" w:space="0" w:color="auto"/>
        <w:bottom w:val="none" w:sz="0" w:space="0" w:color="auto"/>
        <w:right w:val="none" w:sz="0" w:space="0" w:color="auto"/>
      </w:divBdr>
    </w:div>
    <w:div w:id="1235318947">
      <w:bodyDiv w:val="1"/>
      <w:marLeft w:val="0"/>
      <w:marRight w:val="0"/>
      <w:marTop w:val="0"/>
      <w:marBottom w:val="0"/>
      <w:divBdr>
        <w:top w:val="none" w:sz="0" w:space="0" w:color="auto"/>
        <w:left w:val="none" w:sz="0" w:space="0" w:color="auto"/>
        <w:bottom w:val="none" w:sz="0" w:space="0" w:color="auto"/>
        <w:right w:val="none" w:sz="0" w:space="0" w:color="auto"/>
      </w:divBdr>
    </w:div>
    <w:div w:id="1268999108">
      <w:bodyDiv w:val="1"/>
      <w:marLeft w:val="0"/>
      <w:marRight w:val="0"/>
      <w:marTop w:val="0"/>
      <w:marBottom w:val="0"/>
      <w:divBdr>
        <w:top w:val="none" w:sz="0" w:space="0" w:color="auto"/>
        <w:left w:val="none" w:sz="0" w:space="0" w:color="auto"/>
        <w:bottom w:val="none" w:sz="0" w:space="0" w:color="auto"/>
        <w:right w:val="none" w:sz="0" w:space="0" w:color="auto"/>
      </w:divBdr>
    </w:div>
    <w:div w:id="1297878490">
      <w:bodyDiv w:val="1"/>
      <w:marLeft w:val="0"/>
      <w:marRight w:val="0"/>
      <w:marTop w:val="0"/>
      <w:marBottom w:val="0"/>
      <w:divBdr>
        <w:top w:val="none" w:sz="0" w:space="0" w:color="auto"/>
        <w:left w:val="none" w:sz="0" w:space="0" w:color="auto"/>
        <w:bottom w:val="none" w:sz="0" w:space="0" w:color="auto"/>
        <w:right w:val="none" w:sz="0" w:space="0" w:color="auto"/>
      </w:divBdr>
    </w:div>
    <w:div w:id="1369262152">
      <w:bodyDiv w:val="1"/>
      <w:marLeft w:val="0"/>
      <w:marRight w:val="0"/>
      <w:marTop w:val="0"/>
      <w:marBottom w:val="0"/>
      <w:divBdr>
        <w:top w:val="none" w:sz="0" w:space="0" w:color="auto"/>
        <w:left w:val="none" w:sz="0" w:space="0" w:color="auto"/>
        <w:bottom w:val="none" w:sz="0" w:space="0" w:color="auto"/>
        <w:right w:val="none" w:sz="0" w:space="0" w:color="auto"/>
      </w:divBdr>
    </w:div>
    <w:div w:id="1423143495">
      <w:bodyDiv w:val="1"/>
      <w:marLeft w:val="0"/>
      <w:marRight w:val="0"/>
      <w:marTop w:val="0"/>
      <w:marBottom w:val="0"/>
      <w:divBdr>
        <w:top w:val="none" w:sz="0" w:space="0" w:color="auto"/>
        <w:left w:val="none" w:sz="0" w:space="0" w:color="auto"/>
        <w:bottom w:val="none" w:sz="0" w:space="0" w:color="auto"/>
        <w:right w:val="none" w:sz="0" w:space="0" w:color="auto"/>
      </w:divBdr>
    </w:div>
    <w:div w:id="1560944626">
      <w:bodyDiv w:val="1"/>
      <w:marLeft w:val="0"/>
      <w:marRight w:val="0"/>
      <w:marTop w:val="0"/>
      <w:marBottom w:val="0"/>
      <w:divBdr>
        <w:top w:val="none" w:sz="0" w:space="0" w:color="auto"/>
        <w:left w:val="none" w:sz="0" w:space="0" w:color="auto"/>
        <w:bottom w:val="none" w:sz="0" w:space="0" w:color="auto"/>
        <w:right w:val="none" w:sz="0" w:space="0" w:color="auto"/>
      </w:divBdr>
    </w:div>
    <w:div w:id="1587878341">
      <w:bodyDiv w:val="1"/>
      <w:marLeft w:val="0"/>
      <w:marRight w:val="0"/>
      <w:marTop w:val="0"/>
      <w:marBottom w:val="0"/>
      <w:divBdr>
        <w:top w:val="none" w:sz="0" w:space="0" w:color="auto"/>
        <w:left w:val="none" w:sz="0" w:space="0" w:color="auto"/>
        <w:bottom w:val="none" w:sz="0" w:space="0" w:color="auto"/>
        <w:right w:val="none" w:sz="0" w:space="0" w:color="auto"/>
      </w:divBdr>
    </w:div>
    <w:div w:id="1747336296">
      <w:bodyDiv w:val="1"/>
      <w:marLeft w:val="0"/>
      <w:marRight w:val="0"/>
      <w:marTop w:val="0"/>
      <w:marBottom w:val="0"/>
      <w:divBdr>
        <w:top w:val="none" w:sz="0" w:space="0" w:color="auto"/>
        <w:left w:val="none" w:sz="0" w:space="0" w:color="auto"/>
        <w:bottom w:val="none" w:sz="0" w:space="0" w:color="auto"/>
        <w:right w:val="none" w:sz="0" w:space="0" w:color="auto"/>
      </w:divBdr>
    </w:div>
    <w:div w:id="1858039155">
      <w:bodyDiv w:val="1"/>
      <w:marLeft w:val="0"/>
      <w:marRight w:val="0"/>
      <w:marTop w:val="0"/>
      <w:marBottom w:val="0"/>
      <w:divBdr>
        <w:top w:val="none" w:sz="0" w:space="0" w:color="auto"/>
        <w:left w:val="none" w:sz="0" w:space="0" w:color="auto"/>
        <w:bottom w:val="none" w:sz="0" w:space="0" w:color="auto"/>
        <w:right w:val="none" w:sz="0" w:space="0" w:color="auto"/>
      </w:divBdr>
    </w:div>
    <w:div w:id="2013221861">
      <w:bodyDiv w:val="1"/>
      <w:marLeft w:val="0"/>
      <w:marRight w:val="0"/>
      <w:marTop w:val="0"/>
      <w:marBottom w:val="0"/>
      <w:divBdr>
        <w:top w:val="none" w:sz="0" w:space="0" w:color="auto"/>
        <w:left w:val="none" w:sz="0" w:space="0" w:color="auto"/>
        <w:bottom w:val="none" w:sz="0" w:space="0" w:color="auto"/>
        <w:right w:val="none" w:sz="0" w:space="0" w:color="auto"/>
      </w:divBdr>
    </w:div>
    <w:div w:id="20664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E5B2-23E1-4D55-8369-EF61E4E9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4787</Words>
  <Characters>27289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6</cp:revision>
  <dcterms:created xsi:type="dcterms:W3CDTF">2022-11-28T08:02:00Z</dcterms:created>
  <dcterms:modified xsi:type="dcterms:W3CDTF">2022-11-28T11:12:00Z</dcterms:modified>
</cp:coreProperties>
</file>